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app0.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d8d0b15d0" Type="http://schemas.openxmlformats.org/officeDocument/2006/extended-properties" Target="docProps/app0.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4B844" w14:textId="77777777" w:rsidR="007F78D5" w:rsidRDefault="0097540C">
      <w:pPr>
        <w:spacing w:after="120" w:line="346" w:lineRule="auto"/>
        <w:jc w:val="center"/>
        <w:rPr>
          <w:rFonts w:ascii="Tahoma" w:eastAsia="Tahoma" w:hAnsi="Tahoma" w:cs="Tahoma"/>
          <w:b/>
          <w:sz w:val="24"/>
        </w:rPr>
      </w:pPr>
      <w:bookmarkStart w:id="0" w:name="_GoBack"/>
      <w:bookmarkEnd w:id="0"/>
      <w:r>
        <w:rPr>
          <w:rFonts w:ascii="Tahoma" w:eastAsia="Tahoma" w:hAnsi="Tahoma" w:cs="Tahoma"/>
          <w:b/>
          <w:color w:val="117E05"/>
          <w:sz w:val="24"/>
        </w:rPr>
        <w:t>Flex Pharma Reports Second Quarter 2015 Financial Results</w:t>
      </w:r>
      <w:bookmarkStart w:id="1" w:name="Intro_and_Business_Highlights"/>
      <w:bookmarkEnd w:id="1"/>
    </w:p>
    <w:p w14:paraId="0F9DE697" w14:textId="77777777" w:rsidR="007F78D5" w:rsidRDefault="0097540C">
      <w:pPr>
        <w:spacing w:after="120" w:line="346" w:lineRule="auto"/>
        <w:jc w:val="center"/>
        <w:rPr>
          <w:rFonts w:ascii="Tahoma" w:eastAsia="Tahoma" w:hAnsi="Tahoma" w:cs="Tahoma"/>
          <w:i/>
          <w:sz w:val="24"/>
        </w:rPr>
      </w:pPr>
      <w:r>
        <w:rPr>
          <w:rFonts w:ascii="Tahoma" w:eastAsia="Tahoma" w:hAnsi="Tahoma" w:cs="Tahoma"/>
          <w:i/>
          <w:sz w:val="24"/>
        </w:rPr>
        <w:t>Conference Call Scheduled Today at 9:00 a.m. ET</w:t>
      </w:r>
    </w:p>
    <w:p w14:paraId="37A3F92F" w14:textId="77777777" w:rsidR="007F78D5" w:rsidRDefault="007F78D5">
      <w:pPr>
        <w:spacing w:line="288" w:lineRule="auto"/>
        <w:jc w:val="center"/>
        <w:rPr>
          <w:rFonts w:ascii="Tahoma" w:eastAsia="Tahoma" w:hAnsi="Tahoma" w:cs="Tahoma"/>
          <w:sz w:val="24"/>
        </w:rPr>
      </w:pPr>
    </w:p>
    <w:p w14:paraId="289B611C" w14:textId="77777777" w:rsidR="007F78D5" w:rsidRDefault="00F25911">
      <w:pPr>
        <w:spacing w:line="418" w:lineRule="auto"/>
        <w:rPr>
          <w:rFonts w:ascii="Tahoma" w:eastAsia="Tahoma" w:hAnsi="Tahoma" w:cs="Tahoma"/>
          <w:sz w:val="24"/>
        </w:rPr>
      </w:pPr>
      <w:hyperlink r:id="rId8">
        <w:r w:rsidR="0097540C">
          <w:rPr>
            <w:rFonts w:ascii="Tahoma" w:eastAsia="Tahoma" w:hAnsi="Tahoma" w:cs="Tahoma"/>
            <w:color w:val="0000FF"/>
            <w:sz w:val="24"/>
            <w:u w:val="single" w:color="0000FF"/>
          </w:rPr>
          <w:t>Click to Tweet this News</w:t>
        </w:r>
      </w:hyperlink>
    </w:p>
    <w:p w14:paraId="6BE92B43" w14:textId="77777777" w:rsidR="007F78D5" w:rsidRDefault="007F78D5">
      <w:pPr>
        <w:spacing w:line="288" w:lineRule="auto"/>
        <w:jc w:val="center"/>
      </w:pPr>
    </w:p>
    <w:p w14:paraId="6B2D9D1A" w14:textId="77777777" w:rsidR="007F78D5" w:rsidRDefault="0097540C">
      <w:pPr>
        <w:spacing w:line="288" w:lineRule="auto"/>
        <w:rPr>
          <w:rFonts w:ascii="Tahoma" w:eastAsia="Tahoma" w:hAnsi="Tahoma" w:cs="Tahoma"/>
          <w:sz w:val="24"/>
        </w:rPr>
      </w:pPr>
      <w:r>
        <w:rPr>
          <w:rFonts w:ascii="Tahoma" w:eastAsia="Tahoma" w:hAnsi="Tahoma" w:cs="Tahoma"/>
          <w:sz w:val="24"/>
        </w:rPr>
        <w:t>August 5, 2015</w:t>
      </w:r>
    </w:p>
    <w:p w14:paraId="4FF0E0B6" w14:textId="77777777" w:rsidR="007F78D5" w:rsidRDefault="007F78D5">
      <w:pPr>
        <w:spacing w:line="288" w:lineRule="auto"/>
        <w:rPr>
          <w:rFonts w:ascii="Tahoma" w:eastAsia="Tahoma" w:hAnsi="Tahoma" w:cs="Tahoma"/>
          <w:sz w:val="24"/>
        </w:rPr>
      </w:pPr>
    </w:p>
    <w:p w14:paraId="66E9801B" w14:textId="77777777" w:rsidR="007F78D5" w:rsidRDefault="0097540C">
      <w:pPr>
        <w:spacing w:line="288" w:lineRule="auto"/>
        <w:rPr>
          <w:rFonts w:ascii="Tahoma" w:eastAsia="Tahoma" w:hAnsi="Tahoma" w:cs="Tahoma"/>
          <w:sz w:val="24"/>
        </w:rPr>
      </w:pPr>
      <w:r>
        <w:rPr>
          <w:rFonts w:ascii="Tahoma" w:eastAsia="Tahoma" w:hAnsi="Tahoma" w:cs="Tahoma"/>
          <w:sz w:val="24"/>
        </w:rPr>
        <w:t>Boston, MA - Flex Pharma, Inc. (NASDAQ: FLKS), a biotechnology company that is developing innovative and proprietary treatments for exercise-associated muscle cramps, nocturnal leg cramps, and spasms associated with severe neuromuscular conditions, today reported financial results for the quarter ended June 30, 2015, and provided an update on its clinical development and corporate activities.</w:t>
      </w:r>
    </w:p>
    <w:p w14:paraId="26E46B6B" w14:textId="77777777" w:rsidR="007F78D5" w:rsidRDefault="007F78D5">
      <w:pPr>
        <w:spacing w:line="288" w:lineRule="auto"/>
        <w:ind w:hanging="720"/>
        <w:rPr>
          <w:rFonts w:ascii="Tahoma" w:eastAsia="Tahoma" w:hAnsi="Tahoma" w:cs="Tahoma"/>
          <w:sz w:val="24"/>
        </w:rPr>
      </w:pPr>
    </w:p>
    <w:p w14:paraId="23F9B905" w14:textId="77777777" w:rsidR="007F78D5" w:rsidRDefault="0097540C">
      <w:pPr>
        <w:spacing w:line="288" w:lineRule="auto"/>
        <w:rPr>
          <w:rFonts w:ascii="Tahoma" w:eastAsia="Tahoma" w:hAnsi="Tahoma" w:cs="Tahoma"/>
          <w:sz w:val="24"/>
        </w:rPr>
      </w:pPr>
      <w:r>
        <w:rPr>
          <w:rFonts w:ascii="Tahoma" w:eastAsia="Tahoma" w:hAnsi="Tahoma" w:cs="Tahoma"/>
          <w:sz w:val="24"/>
        </w:rPr>
        <w:t xml:space="preserve">“Based on the novel discovery by our scientific co-founders, we are working to define the impact of chemical neuro-stimulation on reducing cramps and spasms in several important settings. We have made significant progress this quarter in both the development of our clinical candidates as well as in the preparation for our consumer launch,” stated Christoph </w:t>
      </w:r>
      <w:proofErr w:type="spellStart"/>
      <w:r>
        <w:rPr>
          <w:rFonts w:ascii="Tahoma" w:eastAsia="Tahoma" w:hAnsi="Tahoma" w:cs="Tahoma"/>
          <w:sz w:val="24"/>
        </w:rPr>
        <w:t>Westphal</w:t>
      </w:r>
      <w:proofErr w:type="spellEnd"/>
      <w:r>
        <w:rPr>
          <w:rFonts w:ascii="Tahoma" w:eastAsia="Tahoma" w:hAnsi="Tahoma" w:cs="Tahoma"/>
          <w:sz w:val="24"/>
        </w:rPr>
        <w:t>, M.D., Ph.D., Chairman and Chief Executive Officer of Flex Pharma. “We are excited to launch our consumer product leveraging our recent data in a real-world setting with athletes, which we believe is the first time any consumer beverage has shown a statistically significant reduction of naturally occurring muscle cramps in athletes. We expect to begin commercializing in the first half of 2016.”</w:t>
      </w:r>
    </w:p>
    <w:p w14:paraId="3E3BC3CB" w14:textId="77777777" w:rsidR="007F78D5" w:rsidRDefault="007F78D5">
      <w:pPr>
        <w:spacing w:line="288" w:lineRule="auto"/>
        <w:rPr>
          <w:rFonts w:ascii="Tahoma" w:eastAsia="Tahoma" w:hAnsi="Tahoma" w:cs="Tahoma"/>
          <w:sz w:val="24"/>
        </w:rPr>
      </w:pPr>
    </w:p>
    <w:p w14:paraId="15D30775" w14:textId="77777777" w:rsidR="007F78D5" w:rsidRDefault="0097540C">
      <w:pPr>
        <w:spacing w:line="288" w:lineRule="auto"/>
        <w:rPr>
          <w:rFonts w:ascii="Tahoma" w:eastAsia="Tahoma" w:hAnsi="Tahoma" w:cs="Tahoma"/>
          <w:b/>
          <w:sz w:val="24"/>
        </w:rPr>
      </w:pPr>
      <w:r>
        <w:rPr>
          <w:rFonts w:ascii="Tahoma" w:eastAsia="Tahoma" w:hAnsi="Tahoma" w:cs="Tahoma"/>
          <w:b/>
          <w:sz w:val="24"/>
        </w:rPr>
        <w:t>Second Quarter and Recent Business Highlights</w:t>
      </w:r>
    </w:p>
    <w:p w14:paraId="5BD1DCA2" w14:textId="77777777" w:rsidR="007F78D5" w:rsidRDefault="007F78D5">
      <w:pPr>
        <w:spacing w:line="288" w:lineRule="auto"/>
        <w:rPr>
          <w:rFonts w:ascii="Tahoma" w:eastAsia="Tahoma" w:hAnsi="Tahoma" w:cs="Tahoma"/>
          <w:b/>
          <w:sz w:val="24"/>
        </w:rPr>
      </w:pPr>
    </w:p>
    <w:p w14:paraId="1D0A177C" w14:textId="77777777" w:rsidR="007F78D5" w:rsidRDefault="0097540C">
      <w:pPr>
        <w:numPr>
          <w:ilvl w:val="0"/>
          <w:numId w:val="1"/>
        </w:numPr>
        <w:spacing w:line="288" w:lineRule="auto"/>
        <w:ind w:left="360"/>
        <w:rPr>
          <w:rFonts w:ascii="Tahoma" w:eastAsia="Tahoma" w:hAnsi="Tahoma" w:cs="Tahoma"/>
          <w:sz w:val="24"/>
        </w:rPr>
      </w:pPr>
      <w:r>
        <w:rPr>
          <w:rFonts w:ascii="Tahoma" w:eastAsia="Tahoma" w:hAnsi="Tahoma" w:cs="Tahoma"/>
          <w:sz w:val="24"/>
        </w:rPr>
        <w:t>Advanced scientific and clinical efforts</w:t>
      </w:r>
    </w:p>
    <w:p w14:paraId="2733A15A" w14:textId="77777777" w:rsidR="007F78D5" w:rsidRDefault="007F78D5">
      <w:pPr>
        <w:spacing w:line="288" w:lineRule="auto"/>
        <w:rPr>
          <w:rFonts w:ascii="Tahoma" w:eastAsia="Tahoma" w:hAnsi="Tahoma" w:cs="Tahoma"/>
          <w:sz w:val="24"/>
        </w:rPr>
      </w:pPr>
    </w:p>
    <w:p w14:paraId="02C1C11B" w14:textId="77777777" w:rsidR="007F78D5" w:rsidRDefault="0097540C">
      <w:pPr>
        <w:numPr>
          <w:ilvl w:val="1"/>
          <w:numId w:val="5"/>
        </w:numPr>
        <w:spacing w:line="288" w:lineRule="auto"/>
        <w:ind w:left="1080"/>
        <w:rPr>
          <w:rFonts w:ascii="Tahoma" w:eastAsia="Tahoma" w:hAnsi="Tahoma" w:cs="Tahoma"/>
          <w:sz w:val="24"/>
        </w:rPr>
      </w:pPr>
      <w:r>
        <w:rPr>
          <w:rFonts w:ascii="Tahoma" w:eastAsia="Tahoma" w:hAnsi="Tahoma" w:cs="Tahoma"/>
          <w:sz w:val="24"/>
        </w:rPr>
        <w:t>The Company’s scientific abstracts have been accepted for presentation at the 31</w:t>
      </w:r>
      <w:r>
        <w:rPr>
          <w:rFonts w:ascii="Tahoma" w:eastAsia="Tahoma" w:hAnsi="Tahoma" w:cs="Tahoma"/>
          <w:sz w:val="24"/>
          <w:vertAlign w:val="superscript"/>
        </w:rPr>
        <w:t>st</w:t>
      </w:r>
      <w:r>
        <w:rPr>
          <w:rFonts w:ascii="Tahoma" w:eastAsia="Tahoma" w:hAnsi="Tahoma" w:cs="Tahoma"/>
          <w:sz w:val="24"/>
        </w:rPr>
        <w:t xml:space="preserve"> Congress of the European Committee for Treatment and Research of Multiple Sclerosis (October 7-10, 2015) and the 45</w:t>
      </w:r>
      <w:r>
        <w:rPr>
          <w:rFonts w:ascii="Tahoma" w:eastAsia="Tahoma" w:hAnsi="Tahoma" w:cs="Tahoma"/>
          <w:sz w:val="24"/>
          <w:vertAlign w:val="superscript"/>
        </w:rPr>
        <w:t>th</w:t>
      </w:r>
      <w:r>
        <w:rPr>
          <w:rFonts w:ascii="Tahoma" w:eastAsia="Tahoma" w:hAnsi="Tahoma" w:cs="Tahoma"/>
          <w:sz w:val="24"/>
        </w:rPr>
        <w:t xml:space="preserve"> Annual Meeting of the Society for Neuroscience (October 17-21, 2015).</w:t>
      </w:r>
    </w:p>
    <w:p w14:paraId="5E19E041" w14:textId="77777777" w:rsidR="007F78D5" w:rsidRDefault="0097540C">
      <w:pPr>
        <w:numPr>
          <w:ilvl w:val="1"/>
          <w:numId w:val="5"/>
        </w:numPr>
        <w:spacing w:line="288" w:lineRule="auto"/>
        <w:ind w:left="1080"/>
        <w:rPr>
          <w:rFonts w:ascii="Tahoma" w:eastAsia="Tahoma" w:hAnsi="Tahoma" w:cs="Tahoma"/>
          <w:sz w:val="24"/>
        </w:rPr>
      </w:pPr>
      <w:r>
        <w:rPr>
          <w:rFonts w:ascii="Tahoma" w:eastAsia="Tahoma" w:hAnsi="Tahoma" w:cs="Tahoma"/>
          <w:sz w:val="24"/>
        </w:rPr>
        <w:t>The Company advanced its clinical efforts and expects to nominate a clinical drug candidate consisting of one or two highly pure, GMP synthesized, potent TRP activators.</w:t>
      </w:r>
    </w:p>
    <w:p w14:paraId="21BD0757" w14:textId="77777777" w:rsidR="007F78D5" w:rsidRDefault="0097540C">
      <w:pPr>
        <w:numPr>
          <w:ilvl w:val="1"/>
          <w:numId w:val="5"/>
        </w:numPr>
        <w:spacing w:line="288" w:lineRule="auto"/>
        <w:ind w:left="1080"/>
        <w:rPr>
          <w:rFonts w:ascii="Tahoma" w:eastAsia="Tahoma" w:hAnsi="Tahoma" w:cs="Tahoma"/>
          <w:sz w:val="24"/>
        </w:rPr>
      </w:pPr>
      <w:r>
        <w:rPr>
          <w:rFonts w:ascii="Tahoma" w:eastAsia="Tahoma" w:hAnsi="Tahoma" w:cs="Tahoma"/>
          <w:sz w:val="24"/>
        </w:rPr>
        <w:t xml:space="preserve">Enrollment is on track in the human proof-of-concept study initiated in April for nocturnal leg cramps (NLC) with the Company's proprietary formulation. Nocturnal leg cramps can cause severe pain, interrupted sleep, reduced quality of life and interference with activities of daily living. The randomized, blinded, placebo-controlled, cross-over study is </w:t>
      </w:r>
      <w:r>
        <w:rPr>
          <w:rFonts w:ascii="Tahoma" w:eastAsia="Tahoma" w:hAnsi="Tahoma" w:cs="Tahoma"/>
          <w:sz w:val="24"/>
        </w:rPr>
        <w:lastRenderedPageBreak/>
        <w:t>expected to enroll at least 40 subjects who experience NLC at least four nights per week.</w:t>
      </w:r>
    </w:p>
    <w:p w14:paraId="6BCF6A65" w14:textId="77777777" w:rsidR="007F78D5" w:rsidRDefault="0097540C">
      <w:pPr>
        <w:numPr>
          <w:ilvl w:val="1"/>
          <w:numId w:val="5"/>
        </w:numPr>
        <w:spacing w:line="288" w:lineRule="auto"/>
        <w:ind w:left="1080"/>
        <w:rPr>
          <w:rFonts w:ascii="Tahoma" w:eastAsia="Tahoma" w:hAnsi="Tahoma" w:cs="Tahoma"/>
          <w:sz w:val="24"/>
        </w:rPr>
      </w:pPr>
      <w:r>
        <w:rPr>
          <w:rFonts w:ascii="Tahoma" w:eastAsia="Tahoma" w:hAnsi="Tahoma" w:cs="Tahoma"/>
          <w:sz w:val="24"/>
        </w:rPr>
        <w:t>Dr. Bruce Bean, Flex Pharma Scientific Co-founder and Scientific Advisory Board Co-Chair, presented the Company’s human proof-of-concept data in an oral platform presentation at the AAN 67</w:t>
      </w:r>
      <w:r>
        <w:rPr>
          <w:rFonts w:ascii="Tahoma" w:eastAsia="Tahoma" w:hAnsi="Tahoma" w:cs="Tahoma"/>
          <w:sz w:val="24"/>
          <w:vertAlign w:val="superscript"/>
        </w:rPr>
        <w:t>th</w:t>
      </w:r>
      <w:r>
        <w:rPr>
          <w:rFonts w:ascii="Tahoma" w:eastAsia="Tahoma" w:hAnsi="Tahoma" w:cs="Tahoma"/>
          <w:sz w:val="24"/>
        </w:rPr>
        <w:t xml:space="preserve"> Annual Meeting held in Washington, D.C. The abstract, titled “Orally-administered TRPV1 and TRPA1 activators inhibit electrically-induced muscle cramps in normal healthy volunteers,</w:t>
      </w:r>
      <w:r>
        <w:rPr>
          <w:rFonts w:ascii="Tahoma" w:eastAsia="Tahoma" w:hAnsi="Tahoma" w:cs="Tahoma"/>
          <w:b/>
          <w:sz w:val="24"/>
        </w:rPr>
        <w:t xml:space="preserve">” </w:t>
      </w:r>
      <w:r>
        <w:rPr>
          <w:rFonts w:ascii="Tahoma" w:eastAsia="Tahoma" w:hAnsi="Tahoma" w:cs="Tahoma"/>
          <w:sz w:val="24"/>
        </w:rPr>
        <w:t>was presented on Tuesday, April 21, 2015.</w:t>
      </w:r>
    </w:p>
    <w:p w14:paraId="0F31A413" w14:textId="77777777" w:rsidR="007F78D5" w:rsidRDefault="0097540C">
      <w:pPr>
        <w:numPr>
          <w:ilvl w:val="1"/>
          <w:numId w:val="5"/>
        </w:numPr>
        <w:spacing w:line="288" w:lineRule="auto"/>
        <w:ind w:left="1080"/>
        <w:rPr>
          <w:rFonts w:ascii="Tahoma" w:eastAsia="Tahoma" w:hAnsi="Tahoma" w:cs="Tahoma"/>
          <w:sz w:val="24"/>
        </w:rPr>
      </w:pPr>
      <w:r>
        <w:rPr>
          <w:rFonts w:ascii="Tahoma" w:eastAsia="Tahoma" w:hAnsi="Tahoma" w:cs="Tahoma"/>
          <w:sz w:val="24"/>
        </w:rPr>
        <w:t xml:space="preserve">In April, </w:t>
      </w:r>
      <w:r>
        <w:rPr>
          <w:rFonts w:ascii="Tahoma" w:eastAsia="Tahoma" w:hAnsi="Tahoma" w:cs="Tahoma"/>
          <w:i/>
          <w:sz w:val="24"/>
        </w:rPr>
        <w:t>Nature</w:t>
      </w:r>
      <w:r>
        <w:rPr>
          <w:rFonts w:ascii="Tahoma" w:eastAsia="Tahoma" w:hAnsi="Tahoma" w:cs="Tahoma"/>
          <w:sz w:val="24"/>
        </w:rPr>
        <w:t xml:space="preserve"> published the co-crystal structure of the TRPA1 target in the paper titled “</w:t>
      </w:r>
      <w:r>
        <w:rPr>
          <w:rFonts w:ascii="Tahoma" w:eastAsia="Tahoma" w:hAnsi="Tahoma" w:cs="Tahoma"/>
          <w:color w:val="000000"/>
          <w:sz w:val="24"/>
          <w:u w:val="single" w:color="000000"/>
        </w:rPr>
        <w:t>Structure of the TRPA1 ion channel suggests regulatory mechanisms.</w:t>
      </w:r>
      <w:r>
        <w:rPr>
          <w:rFonts w:ascii="Tahoma" w:eastAsia="Tahoma" w:hAnsi="Tahoma" w:cs="Tahoma"/>
          <w:sz w:val="24"/>
        </w:rPr>
        <w:t xml:space="preserve">” The TRPV1 co-crystal structure was published by </w:t>
      </w:r>
      <w:r>
        <w:rPr>
          <w:rFonts w:ascii="Tahoma" w:eastAsia="Tahoma" w:hAnsi="Tahoma" w:cs="Tahoma"/>
          <w:i/>
          <w:sz w:val="24"/>
        </w:rPr>
        <w:t>Nature</w:t>
      </w:r>
      <w:r>
        <w:rPr>
          <w:rFonts w:ascii="Tahoma" w:eastAsia="Tahoma" w:hAnsi="Tahoma" w:cs="Tahoma"/>
          <w:sz w:val="24"/>
        </w:rPr>
        <w:t xml:space="preserve"> in December 2013 (</w:t>
      </w:r>
      <w:r>
        <w:rPr>
          <w:rFonts w:ascii="Tahoma" w:eastAsia="Tahoma" w:hAnsi="Tahoma" w:cs="Tahoma"/>
          <w:color w:val="000000"/>
          <w:sz w:val="24"/>
          <w:u w:val="single" w:color="000000"/>
        </w:rPr>
        <w:t>TRPV1 structures in distinct conformations reveal activation mechanisms).</w:t>
      </w:r>
    </w:p>
    <w:p w14:paraId="7E701848" w14:textId="77777777" w:rsidR="007F78D5" w:rsidRDefault="007F78D5">
      <w:pPr>
        <w:spacing w:line="288" w:lineRule="auto"/>
        <w:ind w:left="1080"/>
        <w:rPr>
          <w:rFonts w:ascii="Tahoma" w:eastAsia="Tahoma" w:hAnsi="Tahoma" w:cs="Tahoma"/>
          <w:sz w:val="24"/>
        </w:rPr>
      </w:pPr>
    </w:p>
    <w:p w14:paraId="2D6088E1" w14:textId="77777777" w:rsidR="007F78D5" w:rsidRDefault="0097540C">
      <w:pPr>
        <w:numPr>
          <w:ilvl w:val="0"/>
          <w:numId w:val="1"/>
        </w:numPr>
        <w:spacing w:line="288" w:lineRule="auto"/>
        <w:ind w:left="360"/>
        <w:rPr>
          <w:rFonts w:ascii="Tahoma" w:eastAsia="Tahoma" w:hAnsi="Tahoma" w:cs="Tahoma"/>
          <w:sz w:val="24"/>
        </w:rPr>
      </w:pPr>
      <w:r>
        <w:rPr>
          <w:rFonts w:ascii="Tahoma" w:eastAsia="Tahoma" w:hAnsi="Tahoma" w:cs="Tahoma"/>
          <w:sz w:val="24"/>
        </w:rPr>
        <w:t>Consumer Product</w:t>
      </w:r>
    </w:p>
    <w:p w14:paraId="6B6FE9FD" w14:textId="77777777" w:rsidR="007F78D5" w:rsidRDefault="007F78D5">
      <w:pPr>
        <w:spacing w:line="288" w:lineRule="auto"/>
        <w:ind w:left="360"/>
        <w:rPr>
          <w:rFonts w:ascii="Tahoma" w:eastAsia="Tahoma" w:hAnsi="Tahoma" w:cs="Tahoma"/>
          <w:sz w:val="24"/>
        </w:rPr>
      </w:pPr>
    </w:p>
    <w:p w14:paraId="3F708F56" w14:textId="77777777" w:rsidR="007F78D5" w:rsidRDefault="0097540C">
      <w:pPr>
        <w:numPr>
          <w:ilvl w:val="0"/>
          <w:numId w:val="9"/>
        </w:numPr>
        <w:spacing w:line="288" w:lineRule="auto"/>
        <w:ind w:left="1080"/>
        <w:rPr>
          <w:rFonts w:ascii="Tahoma" w:eastAsia="Tahoma" w:hAnsi="Tahoma" w:cs="Tahoma"/>
          <w:sz w:val="24"/>
        </w:rPr>
      </w:pPr>
      <w:r>
        <w:rPr>
          <w:rFonts w:ascii="Tahoma" w:eastAsia="Tahoma" w:hAnsi="Tahoma" w:cs="Tahoma"/>
          <w:sz w:val="24"/>
        </w:rPr>
        <w:t>The Company has initiated pre-launch activities for its cornerstone consumer product in Boston, Boulder, and Los Angeles, and expects to launch in the first half of 2016.</w:t>
      </w:r>
    </w:p>
    <w:p w14:paraId="5C37BCF8" w14:textId="77777777" w:rsidR="007F78D5" w:rsidRDefault="0097540C">
      <w:pPr>
        <w:numPr>
          <w:ilvl w:val="0"/>
          <w:numId w:val="9"/>
        </w:numPr>
        <w:spacing w:line="288" w:lineRule="auto"/>
        <w:ind w:left="1080"/>
        <w:rPr>
          <w:rFonts w:ascii="Tahoma" w:eastAsia="Tahoma" w:hAnsi="Tahoma" w:cs="Tahoma"/>
          <w:sz w:val="24"/>
        </w:rPr>
      </w:pPr>
      <w:r>
        <w:rPr>
          <w:rFonts w:ascii="Tahoma" w:eastAsia="Tahoma" w:hAnsi="Tahoma" w:cs="Tahoma"/>
          <w:sz w:val="24"/>
        </w:rPr>
        <w:t>In July, the Company announced positive results in an initial study of athletes participating in high intensity sports. The study showed statistically significant results (p&lt;0.01 by Poisson regression), demonstrating that Flex Pharma’s proprietary treatment reduced muscle cramps during a two week workout period by more than 50% when compared to the prior two week baseline observation period. The study also demonstrated a trend towards a reduction in cramp duration.</w:t>
      </w:r>
    </w:p>
    <w:p w14:paraId="6159510E" w14:textId="77777777" w:rsidR="007F78D5" w:rsidRDefault="0097540C">
      <w:pPr>
        <w:numPr>
          <w:ilvl w:val="0"/>
          <w:numId w:val="9"/>
        </w:numPr>
        <w:spacing w:line="288" w:lineRule="auto"/>
        <w:ind w:left="1080"/>
        <w:rPr>
          <w:rFonts w:ascii="Tahoma" w:eastAsia="Tahoma" w:hAnsi="Tahoma" w:cs="Tahoma"/>
          <w:sz w:val="24"/>
        </w:rPr>
      </w:pPr>
      <w:r>
        <w:rPr>
          <w:rFonts w:ascii="Tahoma" w:eastAsia="Tahoma" w:hAnsi="Tahoma" w:cs="Tahoma"/>
          <w:sz w:val="24"/>
        </w:rPr>
        <w:t>As part of the campaign to educate endurance athletes, professional sports teams, coaches, and trainers about Dr. Rod MacKinnon's breakthrough discovery, the Company launched the website ItsTheNerve.com in early June.</w:t>
      </w:r>
    </w:p>
    <w:p w14:paraId="3A87738F" w14:textId="77777777" w:rsidR="007F78D5" w:rsidRDefault="0097540C">
      <w:pPr>
        <w:numPr>
          <w:ilvl w:val="0"/>
          <w:numId w:val="9"/>
        </w:numPr>
        <w:spacing w:line="288" w:lineRule="auto"/>
        <w:ind w:left="1080"/>
        <w:rPr>
          <w:rFonts w:ascii="Tahoma" w:eastAsia="Tahoma" w:hAnsi="Tahoma" w:cs="Tahoma"/>
          <w:sz w:val="24"/>
        </w:rPr>
      </w:pPr>
      <w:r>
        <w:rPr>
          <w:rFonts w:ascii="Tahoma" w:eastAsia="Tahoma" w:hAnsi="Tahoma" w:cs="Tahoma"/>
          <w:sz w:val="24"/>
        </w:rPr>
        <w:t>In May, the Company announced that its proprietary formulation earned certification from NSF International's Certified for Sport® program. NSF's Certified for Sport® program certifies ingredients and tests products to ensure they do not contain contaminants or banned or prohibited substances. The MLB, MLB Player's Association, NFL, NFL Player's Association, PGA, LPGA and the CCES (Canadian Centre for Ethics in Sport) have all chosen NSF's Certified for Sport® program.</w:t>
      </w:r>
    </w:p>
    <w:p w14:paraId="7968F6E2" w14:textId="77777777" w:rsidR="007F78D5" w:rsidRDefault="007F78D5">
      <w:pPr>
        <w:spacing w:line="288" w:lineRule="auto"/>
        <w:ind w:left="1080"/>
        <w:rPr>
          <w:rFonts w:ascii="Tahoma" w:eastAsia="Tahoma" w:hAnsi="Tahoma" w:cs="Tahoma"/>
          <w:sz w:val="24"/>
        </w:rPr>
      </w:pPr>
    </w:p>
    <w:p w14:paraId="4AD4364F" w14:textId="77777777" w:rsidR="007F78D5" w:rsidRDefault="007F78D5">
      <w:pPr>
        <w:spacing w:line="288" w:lineRule="auto"/>
        <w:ind w:left="1080"/>
        <w:rPr>
          <w:rFonts w:ascii="Tahoma" w:eastAsia="Tahoma" w:hAnsi="Tahoma" w:cs="Tahoma"/>
          <w:sz w:val="24"/>
        </w:rPr>
      </w:pPr>
    </w:p>
    <w:p w14:paraId="4A34586E" w14:textId="77777777" w:rsidR="001E0957" w:rsidRDefault="001E0957">
      <w:pPr>
        <w:spacing w:line="288" w:lineRule="auto"/>
        <w:ind w:left="1080"/>
        <w:rPr>
          <w:rFonts w:ascii="Tahoma" w:eastAsia="Tahoma" w:hAnsi="Tahoma" w:cs="Tahoma"/>
          <w:sz w:val="24"/>
        </w:rPr>
      </w:pPr>
    </w:p>
    <w:p w14:paraId="553144BC" w14:textId="77777777" w:rsidR="001E0957" w:rsidRDefault="001E0957">
      <w:pPr>
        <w:spacing w:line="288" w:lineRule="auto"/>
        <w:ind w:left="1080"/>
        <w:rPr>
          <w:rFonts w:ascii="Tahoma" w:eastAsia="Tahoma" w:hAnsi="Tahoma" w:cs="Tahoma"/>
          <w:sz w:val="24"/>
        </w:rPr>
      </w:pPr>
    </w:p>
    <w:p w14:paraId="5E26B2CB" w14:textId="77777777" w:rsidR="001E0957" w:rsidRDefault="001E0957">
      <w:pPr>
        <w:spacing w:line="288" w:lineRule="auto"/>
        <w:ind w:left="1080"/>
        <w:rPr>
          <w:rFonts w:ascii="Tahoma" w:eastAsia="Tahoma" w:hAnsi="Tahoma" w:cs="Tahoma"/>
          <w:sz w:val="24"/>
        </w:rPr>
      </w:pPr>
    </w:p>
    <w:p w14:paraId="0DA5EF10" w14:textId="77777777" w:rsidR="007F78D5" w:rsidRDefault="0097540C">
      <w:pPr>
        <w:numPr>
          <w:ilvl w:val="0"/>
          <w:numId w:val="1"/>
        </w:numPr>
        <w:spacing w:line="288" w:lineRule="auto"/>
        <w:ind w:left="360"/>
        <w:rPr>
          <w:rFonts w:ascii="Tahoma" w:eastAsia="Tahoma" w:hAnsi="Tahoma" w:cs="Tahoma"/>
          <w:sz w:val="24"/>
        </w:rPr>
      </w:pPr>
      <w:r>
        <w:rPr>
          <w:rFonts w:ascii="Tahoma" w:eastAsia="Tahoma" w:hAnsi="Tahoma" w:cs="Tahoma"/>
          <w:sz w:val="24"/>
        </w:rPr>
        <w:lastRenderedPageBreak/>
        <w:t>Expanded Directors and Advisors</w:t>
      </w:r>
    </w:p>
    <w:p w14:paraId="31D10012" w14:textId="77777777" w:rsidR="007F78D5" w:rsidRDefault="007F78D5">
      <w:pPr>
        <w:spacing w:line="288" w:lineRule="auto"/>
        <w:ind w:left="360"/>
        <w:rPr>
          <w:rFonts w:ascii="Tahoma" w:eastAsia="Tahoma" w:hAnsi="Tahoma" w:cs="Tahoma"/>
          <w:sz w:val="24"/>
        </w:rPr>
      </w:pPr>
    </w:p>
    <w:p w14:paraId="39FC826A" w14:textId="77777777" w:rsidR="007F78D5" w:rsidRDefault="0097540C">
      <w:pPr>
        <w:numPr>
          <w:ilvl w:val="0"/>
          <w:numId w:val="10"/>
        </w:numPr>
        <w:spacing w:line="288" w:lineRule="auto"/>
        <w:ind w:left="1080"/>
        <w:rPr>
          <w:rFonts w:ascii="Tahoma" w:eastAsia="Tahoma" w:hAnsi="Tahoma" w:cs="Tahoma"/>
          <w:sz w:val="24"/>
        </w:rPr>
      </w:pPr>
      <w:r>
        <w:rPr>
          <w:rFonts w:ascii="Tahoma" w:eastAsia="Tahoma" w:hAnsi="Tahoma" w:cs="Tahoma"/>
          <w:sz w:val="24"/>
        </w:rPr>
        <w:t xml:space="preserve">Alfred </w:t>
      </w:r>
      <w:proofErr w:type="spellStart"/>
      <w:r>
        <w:rPr>
          <w:rFonts w:ascii="Tahoma" w:eastAsia="Tahoma" w:hAnsi="Tahoma" w:cs="Tahoma"/>
          <w:sz w:val="24"/>
        </w:rPr>
        <w:t>Sandrock</w:t>
      </w:r>
      <w:proofErr w:type="spellEnd"/>
      <w:r>
        <w:rPr>
          <w:rFonts w:ascii="Tahoma" w:eastAsia="Tahoma" w:hAnsi="Tahoma" w:cs="Tahoma"/>
          <w:sz w:val="24"/>
        </w:rPr>
        <w:t xml:space="preserve">, Jr., M.D., Ph.D., Chief Medical Officer of Biogen (NASDAQ: BIIB), joined our Scientific Advisory Board. Dr. </w:t>
      </w:r>
      <w:proofErr w:type="spellStart"/>
      <w:r>
        <w:rPr>
          <w:rFonts w:ascii="Tahoma" w:eastAsia="Tahoma" w:hAnsi="Tahoma" w:cs="Tahoma"/>
          <w:sz w:val="24"/>
        </w:rPr>
        <w:t>Sandrock</w:t>
      </w:r>
      <w:proofErr w:type="spellEnd"/>
      <w:r>
        <w:rPr>
          <w:rFonts w:ascii="Tahoma" w:eastAsia="Tahoma" w:hAnsi="Tahoma" w:cs="Tahoma"/>
          <w:sz w:val="24"/>
        </w:rPr>
        <w:t xml:space="preserve"> is Biogen’s Group Senior Vice President of Development Sciences and Chief Medical Officer. At Biogen, Dr. </w:t>
      </w:r>
      <w:proofErr w:type="spellStart"/>
      <w:r>
        <w:rPr>
          <w:rFonts w:ascii="Tahoma" w:eastAsia="Tahoma" w:hAnsi="Tahoma" w:cs="Tahoma"/>
          <w:sz w:val="24"/>
        </w:rPr>
        <w:t>Sandrock</w:t>
      </w:r>
      <w:proofErr w:type="spellEnd"/>
      <w:r>
        <w:rPr>
          <w:rFonts w:ascii="Tahoma" w:eastAsia="Tahoma" w:hAnsi="Tahoma" w:cs="Tahoma"/>
          <w:sz w:val="24"/>
        </w:rPr>
        <w:t xml:space="preserve"> has been responsible for the clinical development and approval of </w:t>
      </w:r>
      <w:proofErr w:type="spellStart"/>
      <w:r>
        <w:rPr>
          <w:rFonts w:ascii="Tahoma" w:eastAsia="Tahoma" w:hAnsi="Tahoma" w:cs="Tahoma"/>
          <w:sz w:val="24"/>
        </w:rPr>
        <w:t>Tysabri</w:t>
      </w:r>
      <w:proofErr w:type="spellEnd"/>
      <w:r>
        <w:rPr>
          <w:rFonts w:ascii="Tahoma" w:eastAsia="Tahoma" w:hAnsi="Tahoma" w:cs="Tahoma"/>
          <w:sz w:val="24"/>
        </w:rPr>
        <w:t xml:space="preserve">®, </w:t>
      </w:r>
      <w:proofErr w:type="spellStart"/>
      <w:r>
        <w:rPr>
          <w:rFonts w:ascii="Tahoma" w:eastAsia="Tahoma" w:hAnsi="Tahoma" w:cs="Tahoma"/>
          <w:sz w:val="24"/>
        </w:rPr>
        <w:t>Plegridy</w:t>
      </w:r>
      <w:proofErr w:type="spellEnd"/>
      <w:r>
        <w:rPr>
          <w:rFonts w:ascii="Tahoma" w:eastAsia="Tahoma" w:hAnsi="Tahoma" w:cs="Tahoma"/>
          <w:sz w:val="24"/>
        </w:rPr>
        <w:t xml:space="preserve">®, </w:t>
      </w:r>
      <w:proofErr w:type="spellStart"/>
      <w:r>
        <w:rPr>
          <w:rFonts w:ascii="Tahoma" w:eastAsia="Tahoma" w:hAnsi="Tahoma" w:cs="Tahoma"/>
          <w:sz w:val="24"/>
        </w:rPr>
        <w:t>Tecfidera</w:t>
      </w:r>
      <w:proofErr w:type="spellEnd"/>
      <w:r>
        <w:rPr>
          <w:rFonts w:ascii="Tahoma" w:eastAsia="Tahoma" w:hAnsi="Tahoma" w:cs="Tahoma"/>
          <w:sz w:val="24"/>
        </w:rPr>
        <w:t xml:space="preserve">®, </w:t>
      </w:r>
      <w:proofErr w:type="spellStart"/>
      <w:r>
        <w:rPr>
          <w:rFonts w:ascii="Tahoma" w:eastAsia="Tahoma" w:hAnsi="Tahoma" w:cs="Tahoma"/>
          <w:sz w:val="24"/>
        </w:rPr>
        <w:t>Alprolix</w:t>
      </w:r>
      <w:proofErr w:type="spellEnd"/>
      <w:r>
        <w:rPr>
          <w:rFonts w:ascii="Tahoma" w:eastAsia="Tahoma" w:hAnsi="Tahoma" w:cs="Tahoma"/>
          <w:sz w:val="24"/>
        </w:rPr>
        <w:t xml:space="preserve">®, and </w:t>
      </w:r>
      <w:proofErr w:type="spellStart"/>
      <w:r>
        <w:rPr>
          <w:rFonts w:ascii="Tahoma" w:eastAsia="Tahoma" w:hAnsi="Tahoma" w:cs="Tahoma"/>
          <w:sz w:val="24"/>
        </w:rPr>
        <w:t>Eloctate</w:t>
      </w:r>
      <w:proofErr w:type="spellEnd"/>
      <w:r>
        <w:rPr>
          <w:rFonts w:ascii="Tahoma" w:eastAsia="Tahoma" w:hAnsi="Tahoma" w:cs="Tahoma"/>
          <w:sz w:val="24"/>
        </w:rPr>
        <w:t xml:space="preserve">®. </w:t>
      </w:r>
    </w:p>
    <w:p w14:paraId="2723E81D" w14:textId="77777777" w:rsidR="007F78D5" w:rsidRDefault="0097540C">
      <w:pPr>
        <w:numPr>
          <w:ilvl w:val="0"/>
          <w:numId w:val="10"/>
        </w:numPr>
        <w:spacing w:line="288" w:lineRule="auto"/>
        <w:ind w:left="1080"/>
        <w:rPr>
          <w:rFonts w:ascii="Tahoma" w:eastAsia="Tahoma" w:hAnsi="Tahoma" w:cs="Tahoma"/>
          <w:sz w:val="24"/>
        </w:rPr>
      </w:pPr>
      <w:r>
        <w:rPr>
          <w:rFonts w:ascii="Tahoma" w:eastAsia="Tahoma" w:hAnsi="Tahoma" w:cs="Tahoma"/>
          <w:sz w:val="24"/>
        </w:rPr>
        <w:t xml:space="preserve">John </w:t>
      </w:r>
      <w:proofErr w:type="spellStart"/>
      <w:r>
        <w:rPr>
          <w:rFonts w:ascii="Tahoma" w:eastAsia="Tahoma" w:hAnsi="Tahoma" w:cs="Tahoma"/>
          <w:sz w:val="24"/>
        </w:rPr>
        <w:t>Winkelman</w:t>
      </w:r>
      <w:proofErr w:type="spellEnd"/>
      <w:r>
        <w:rPr>
          <w:rFonts w:ascii="Tahoma" w:eastAsia="Tahoma" w:hAnsi="Tahoma" w:cs="Tahoma"/>
          <w:sz w:val="24"/>
        </w:rPr>
        <w:t xml:space="preserve">, M.D., Ph.D., Chief of the Sleep Disorders Clinical Research Program at Massachusetts General Hospital, joined our Scientific Advisory Board. Dr. </w:t>
      </w:r>
      <w:proofErr w:type="spellStart"/>
      <w:r>
        <w:rPr>
          <w:rFonts w:ascii="Tahoma" w:eastAsia="Tahoma" w:hAnsi="Tahoma" w:cs="Tahoma"/>
          <w:sz w:val="24"/>
        </w:rPr>
        <w:t>Winkelman</w:t>
      </w:r>
      <w:proofErr w:type="spellEnd"/>
      <w:r>
        <w:rPr>
          <w:rFonts w:ascii="Tahoma" w:eastAsia="Tahoma" w:hAnsi="Tahoma" w:cs="Tahoma"/>
          <w:sz w:val="24"/>
        </w:rPr>
        <w:t xml:space="preserve"> is an Associate Professor of Psychiatry at Harvard Medical School. Dr. </w:t>
      </w:r>
      <w:proofErr w:type="spellStart"/>
      <w:r>
        <w:rPr>
          <w:rFonts w:ascii="Tahoma" w:eastAsia="Tahoma" w:hAnsi="Tahoma" w:cs="Tahoma"/>
          <w:sz w:val="24"/>
        </w:rPr>
        <w:t>Winkelman's</w:t>
      </w:r>
      <w:proofErr w:type="spellEnd"/>
      <w:r>
        <w:rPr>
          <w:rFonts w:ascii="Tahoma" w:eastAsia="Tahoma" w:hAnsi="Tahoma" w:cs="Tahoma"/>
          <w:sz w:val="24"/>
        </w:rPr>
        <w:t xml:space="preserve"> clinical research has included clinical trials in sleep-related movement disorders, particularly extensive involvement in the development of approved agents for restless legs syndrome.</w:t>
      </w:r>
    </w:p>
    <w:p w14:paraId="278C5E94" w14:textId="77777777" w:rsidR="007F78D5" w:rsidRDefault="0097540C">
      <w:pPr>
        <w:numPr>
          <w:ilvl w:val="0"/>
          <w:numId w:val="10"/>
        </w:numPr>
        <w:spacing w:line="288" w:lineRule="auto"/>
        <w:ind w:left="1080"/>
        <w:rPr>
          <w:rFonts w:ascii="Tahoma" w:eastAsia="Tahoma" w:hAnsi="Tahoma" w:cs="Tahoma"/>
          <w:sz w:val="24"/>
        </w:rPr>
      </w:pPr>
      <w:r>
        <w:rPr>
          <w:rFonts w:ascii="Tahoma" w:eastAsia="Tahoma" w:hAnsi="Tahoma" w:cs="Tahoma"/>
          <w:sz w:val="24"/>
        </w:rPr>
        <w:t xml:space="preserve">Jeffrey D. </w:t>
      </w:r>
      <w:proofErr w:type="spellStart"/>
      <w:r>
        <w:rPr>
          <w:rFonts w:ascii="Tahoma" w:eastAsia="Tahoma" w:hAnsi="Tahoma" w:cs="Tahoma"/>
          <w:sz w:val="24"/>
        </w:rPr>
        <w:t>Capello</w:t>
      </w:r>
      <w:proofErr w:type="spellEnd"/>
      <w:r>
        <w:rPr>
          <w:rFonts w:ascii="Tahoma" w:eastAsia="Tahoma" w:hAnsi="Tahoma" w:cs="Tahoma"/>
          <w:sz w:val="24"/>
        </w:rPr>
        <w:t xml:space="preserve">, former Chief Financial Officer of Ortho-Clinical Diagnostics, Inc., joined our Board of Directors and serves as Chair of the Audit Committee. Prior to his role at Ortho-Clinical Diagnostics, Mr. </w:t>
      </w:r>
      <w:proofErr w:type="spellStart"/>
      <w:r>
        <w:rPr>
          <w:rFonts w:ascii="Tahoma" w:eastAsia="Tahoma" w:hAnsi="Tahoma" w:cs="Tahoma"/>
          <w:sz w:val="24"/>
        </w:rPr>
        <w:t>Capello</w:t>
      </w:r>
      <w:proofErr w:type="spellEnd"/>
      <w:r>
        <w:rPr>
          <w:rFonts w:ascii="Tahoma" w:eastAsia="Tahoma" w:hAnsi="Tahoma" w:cs="Tahoma"/>
          <w:sz w:val="24"/>
        </w:rPr>
        <w:t xml:space="preserve"> served as Chief Financial Officer and Executive Vice President of Boston Scientific (NYSE: BSX) from 2010 to 2013.</w:t>
      </w:r>
    </w:p>
    <w:p w14:paraId="4F151687" w14:textId="77777777" w:rsidR="007F78D5" w:rsidRDefault="007F78D5">
      <w:pPr>
        <w:spacing w:line="288" w:lineRule="auto"/>
        <w:rPr>
          <w:rFonts w:ascii="Tahoma" w:eastAsia="Tahoma" w:hAnsi="Tahoma" w:cs="Tahoma"/>
          <w:sz w:val="24"/>
        </w:rPr>
      </w:pPr>
    </w:p>
    <w:p w14:paraId="770E0CCF" w14:textId="77777777" w:rsidR="007F78D5" w:rsidRDefault="0097540C">
      <w:pPr>
        <w:numPr>
          <w:ilvl w:val="0"/>
          <w:numId w:val="12"/>
        </w:numPr>
        <w:spacing w:line="288" w:lineRule="auto"/>
        <w:ind w:left="360"/>
        <w:rPr>
          <w:rFonts w:ascii="Tahoma" w:eastAsia="Tahoma" w:hAnsi="Tahoma" w:cs="Tahoma"/>
          <w:sz w:val="24"/>
        </w:rPr>
      </w:pPr>
      <w:r>
        <w:rPr>
          <w:rFonts w:ascii="Tahoma" w:eastAsia="Tahoma" w:hAnsi="Tahoma" w:cs="Tahoma"/>
          <w:sz w:val="24"/>
        </w:rPr>
        <w:t>Corporate</w:t>
      </w:r>
    </w:p>
    <w:p w14:paraId="710E643F" w14:textId="77777777" w:rsidR="007F78D5" w:rsidRDefault="007F78D5">
      <w:pPr>
        <w:spacing w:line="288" w:lineRule="auto"/>
        <w:ind w:left="360"/>
        <w:rPr>
          <w:rFonts w:ascii="Tahoma" w:eastAsia="Tahoma" w:hAnsi="Tahoma" w:cs="Tahoma"/>
          <w:sz w:val="24"/>
        </w:rPr>
      </w:pPr>
    </w:p>
    <w:p w14:paraId="5028B940" w14:textId="77777777" w:rsidR="007F78D5" w:rsidRDefault="0097540C">
      <w:pPr>
        <w:numPr>
          <w:ilvl w:val="0"/>
          <w:numId w:val="13"/>
        </w:numPr>
        <w:spacing w:line="288" w:lineRule="auto"/>
        <w:ind w:left="1080"/>
        <w:rPr>
          <w:rFonts w:ascii="Tahoma" w:eastAsia="Tahoma" w:hAnsi="Tahoma" w:cs="Tahoma"/>
          <w:sz w:val="24"/>
        </w:rPr>
      </w:pPr>
      <w:r>
        <w:rPr>
          <w:rFonts w:ascii="Tahoma" w:eastAsia="Tahoma" w:hAnsi="Tahoma" w:cs="Tahoma"/>
          <w:sz w:val="24"/>
        </w:rPr>
        <w:t xml:space="preserve">On June 1, the Company's management and its co-founders hosted the NASDAQ Stock Market Closing Bell ceremony at the NASDAQ </w:t>
      </w:r>
      <w:proofErr w:type="spellStart"/>
      <w:r>
        <w:rPr>
          <w:rFonts w:ascii="Tahoma" w:eastAsia="Tahoma" w:hAnsi="Tahoma" w:cs="Tahoma"/>
          <w:sz w:val="24"/>
        </w:rPr>
        <w:t>MarketSite</w:t>
      </w:r>
      <w:proofErr w:type="spellEnd"/>
      <w:r>
        <w:rPr>
          <w:rFonts w:ascii="Tahoma" w:eastAsia="Tahoma" w:hAnsi="Tahoma" w:cs="Tahoma"/>
          <w:sz w:val="24"/>
        </w:rPr>
        <w:t xml:space="preserve"> in Times Square.</w:t>
      </w:r>
    </w:p>
    <w:p w14:paraId="4557A989" w14:textId="77777777" w:rsidR="007F78D5" w:rsidRDefault="0097540C">
      <w:pPr>
        <w:numPr>
          <w:ilvl w:val="0"/>
          <w:numId w:val="13"/>
        </w:numPr>
        <w:spacing w:line="288" w:lineRule="auto"/>
        <w:ind w:left="1080"/>
        <w:rPr>
          <w:rFonts w:ascii="Tahoma" w:eastAsia="Tahoma" w:hAnsi="Tahoma" w:cs="Tahoma"/>
          <w:sz w:val="24"/>
        </w:rPr>
      </w:pPr>
      <w:r>
        <w:rPr>
          <w:rFonts w:ascii="Tahoma" w:eastAsia="Tahoma" w:hAnsi="Tahoma" w:cs="Tahoma"/>
          <w:sz w:val="24"/>
        </w:rPr>
        <w:t>On April 1, Flex Pharma, Inc. (FLKS) was added to the Russell 3000, Russell 2000, and Russell Microcap Indices as part of Russell Investments' first quarter 2015 IPO additions.</w:t>
      </w:r>
    </w:p>
    <w:p w14:paraId="4F0FCC14" w14:textId="77777777" w:rsidR="007F78D5" w:rsidRDefault="007F78D5">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1080"/>
        <w:rPr>
          <w:rFonts w:ascii="Tahoma" w:eastAsia="Tahoma" w:hAnsi="Tahoma" w:cs="Tahoma"/>
          <w:sz w:val="24"/>
        </w:rPr>
      </w:pPr>
    </w:p>
    <w:p w14:paraId="2C14F6E8" w14:textId="77777777" w:rsidR="007F78D5" w:rsidRDefault="007F78D5">
      <w:pPr>
        <w:spacing w:line="288" w:lineRule="auto"/>
        <w:ind w:hanging="720"/>
      </w:pPr>
    </w:p>
    <w:p w14:paraId="3B50DB61" w14:textId="77777777" w:rsidR="007F78D5" w:rsidRDefault="007F78D5">
      <w:pPr>
        <w:sectPr w:rsidR="007F78D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160" w:footer="1240" w:gutter="0"/>
          <w:pgNumType w:chapSep="period"/>
          <w:cols w:space="720"/>
          <w:titlePg/>
        </w:sectPr>
      </w:pPr>
    </w:p>
    <w:p w14:paraId="27FCDB73" w14:textId="77777777" w:rsidR="007F78D5" w:rsidRDefault="0097540C">
      <w:pPr>
        <w:spacing w:line="288" w:lineRule="auto"/>
        <w:rPr>
          <w:rFonts w:ascii="Tahoma" w:eastAsia="Tahoma" w:hAnsi="Tahoma" w:cs="Tahoma"/>
          <w:b/>
          <w:sz w:val="24"/>
        </w:rPr>
      </w:pPr>
      <w:r>
        <w:rPr>
          <w:rFonts w:ascii="Tahoma" w:eastAsia="Tahoma" w:hAnsi="Tahoma" w:cs="Tahoma"/>
          <w:b/>
          <w:sz w:val="24"/>
        </w:rPr>
        <w:lastRenderedPageBreak/>
        <w:t>Second Quarter 2015 Financial Results</w:t>
      </w:r>
      <w:bookmarkStart w:id="2" w:name="Financial_Results"/>
      <w:bookmarkEnd w:id="2"/>
    </w:p>
    <w:p w14:paraId="2A7BA1FF" w14:textId="77777777" w:rsidR="007F78D5" w:rsidRDefault="007F78D5">
      <w:pPr>
        <w:spacing w:line="288" w:lineRule="auto"/>
        <w:rPr>
          <w:rFonts w:ascii="Tahoma" w:eastAsia="Tahoma" w:hAnsi="Tahoma" w:cs="Tahoma"/>
          <w:sz w:val="24"/>
        </w:rPr>
      </w:pPr>
    </w:p>
    <w:p w14:paraId="64027798" w14:textId="77777777" w:rsidR="007F78D5" w:rsidRDefault="0097540C">
      <w:pPr>
        <w:numPr>
          <w:ilvl w:val="0"/>
          <w:numId w:val="2"/>
        </w:numPr>
        <w:spacing w:line="288" w:lineRule="auto"/>
        <w:ind w:left="360"/>
        <w:rPr>
          <w:rFonts w:ascii="Tahoma" w:eastAsia="Tahoma" w:hAnsi="Tahoma" w:cs="Tahoma"/>
          <w:sz w:val="24"/>
        </w:rPr>
      </w:pPr>
      <w:r>
        <w:rPr>
          <w:rFonts w:ascii="Tahoma" w:eastAsia="Tahoma" w:hAnsi="Tahoma" w:cs="Tahoma"/>
          <w:b/>
          <w:color w:val="262626"/>
          <w:sz w:val="24"/>
        </w:rPr>
        <w:t>Cash Position:</w:t>
      </w:r>
      <w:r>
        <w:rPr>
          <w:rFonts w:ascii="Tahoma" w:eastAsia="Tahoma" w:hAnsi="Tahoma" w:cs="Tahoma"/>
          <w:color w:val="262626"/>
          <w:sz w:val="24"/>
        </w:rPr>
        <w:t xml:space="preserve"> </w:t>
      </w:r>
      <w:r>
        <w:rPr>
          <w:rFonts w:ascii="Tahoma" w:eastAsia="Tahoma" w:hAnsi="Tahoma" w:cs="Tahoma"/>
          <w:sz w:val="24"/>
        </w:rPr>
        <w:t>Flex Pharma had cash and cash equivalents of $106.0 million as of June 30, 2015 compared to cash of $110.5 million as of March 31, 2015, a decrease of $4.5 million, which the Company used to fund its operations. Based on its current cash position and assuming no revenues from product sales and no outside support via partnering deals, the Company expects to have sufficient capital to fund its operations until the middle of 2018.</w:t>
      </w:r>
    </w:p>
    <w:p w14:paraId="4DB2F8C1" w14:textId="77777777" w:rsidR="007F78D5" w:rsidRDefault="007F78D5">
      <w:pPr>
        <w:spacing w:line="288" w:lineRule="auto"/>
        <w:rPr>
          <w:rFonts w:ascii="Tahoma" w:eastAsia="Tahoma" w:hAnsi="Tahoma" w:cs="Tahoma"/>
          <w:sz w:val="24"/>
        </w:rPr>
      </w:pPr>
    </w:p>
    <w:p w14:paraId="65FDEB96" w14:textId="77777777" w:rsidR="007F78D5" w:rsidRDefault="0097540C">
      <w:pPr>
        <w:numPr>
          <w:ilvl w:val="0"/>
          <w:numId w:val="3"/>
        </w:numPr>
        <w:spacing w:line="288" w:lineRule="auto"/>
        <w:ind w:left="360"/>
        <w:rPr>
          <w:rFonts w:ascii="Tahoma" w:eastAsia="Tahoma" w:hAnsi="Tahoma" w:cs="Tahoma"/>
          <w:sz w:val="24"/>
        </w:rPr>
      </w:pPr>
      <w:r>
        <w:rPr>
          <w:rFonts w:ascii="Tahoma" w:eastAsia="Tahoma" w:hAnsi="Tahoma" w:cs="Tahoma"/>
          <w:b/>
          <w:sz w:val="24"/>
        </w:rPr>
        <w:t>R&amp;D Expense:</w:t>
      </w:r>
      <w:r>
        <w:rPr>
          <w:rFonts w:ascii="Tahoma" w:eastAsia="Tahoma" w:hAnsi="Tahoma" w:cs="Tahoma"/>
          <w:sz w:val="24"/>
        </w:rPr>
        <w:t xml:space="preserve"> Research and development expense for the three months ended June 30, 2015 was $3.2 million, compared to $1.1 million for the three months ended June 30, 2014. Research and development expense for the </w:t>
      </w:r>
      <w:r>
        <w:rPr>
          <w:rFonts w:ascii="Tahoma" w:eastAsia="Tahoma" w:hAnsi="Tahoma" w:cs="Tahoma"/>
          <w:sz w:val="24"/>
        </w:rPr>
        <w:lastRenderedPageBreak/>
        <w:t>second quarter of 2015 primarily included increased costs associated with the Company’s clinical studies and research of its proprietary treatment, as well as higher personnel costs (including salaries and stock-based compensation costs) due to an increased workforce.</w:t>
      </w:r>
    </w:p>
    <w:p w14:paraId="5943D3C6" w14:textId="77777777" w:rsidR="007F78D5" w:rsidRDefault="007F78D5">
      <w:pPr>
        <w:spacing w:line="288" w:lineRule="auto"/>
        <w:ind w:left="360"/>
        <w:rPr>
          <w:rFonts w:ascii="Tahoma" w:eastAsia="Tahoma" w:hAnsi="Tahoma" w:cs="Tahoma"/>
          <w:sz w:val="24"/>
        </w:rPr>
      </w:pPr>
    </w:p>
    <w:p w14:paraId="1A203D8E" w14:textId="77777777" w:rsidR="007F78D5" w:rsidRDefault="0097540C">
      <w:pPr>
        <w:numPr>
          <w:ilvl w:val="0"/>
          <w:numId w:val="4"/>
        </w:numPr>
        <w:spacing w:line="288" w:lineRule="auto"/>
        <w:ind w:left="360"/>
        <w:rPr>
          <w:rFonts w:ascii="Tahoma" w:eastAsia="Tahoma" w:hAnsi="Tahoma" w:cs="Tahoma"/>
          <w:sz w:val="24"/>
        </w:rPr>
      </w:pPr>
      <w:r>
        <w:rPr>
          <w:rFonts w:ascii="Tahoma" w:eastAsia="Tahoma" w:hAnsi="Tahoma" w:cs="Tahoma"/>
          <w:b/>
          <w:sz w:val="24"/>
        </w:rPr>
        <w:t>G&amp;A Expense</w:t>
      </w:r>
      <w:r>
        <w:rPr>
          <w:rFonts w:ascii="Tahoma" w:eastAsia="Tahoma" w:hAnsi="Tahoma" w:cs="Tahoma"/>
          <w:sz w:val="24"/>
        </w:rPr>
        <w:t>: General and administrative expense for the three months ended June 30, 2015 was $3.9 million, compared to $1.1 million for the three months ended June 30, 2014. General and administrative expense for this period primarily included higher personnel costs (including salaries and stock-based compensation costs) due to an increased workforce, costs related to developing the Company’s consumer brand and cornerstone product, including pre-launch activities, and increased external consulting costs and professional service fees.</w:t>
      </w:r>
    </w:p>
    <w:p w14:paraId="61E63644" w14:textId="77777777" w:rsidR="007F78D5" w:rsidRDefault="007F78D5">
      <w:pPr>
        <w:spacing w:line="288" w:lineRule="auto"/>
        <w:rPr>
          <w:rFonts w:ascii="Tahoma" w:eastAsia="Tahoma" w:hAnsi="Tahoma" w:cs="Tahoma"/>
          <w:sz w:val="24"/>
        </w:rPr>
      </w:pPr>
    </w:p>
    <w:p w14:paraId="57BCCC0F" w14:textId="77777777" w:rsidR="007F78D5" w:rsidRDefault="0097540C">
      <w:pPr>
        <w:numPr>
          <w:ilvl w:val="0"/>
          <w:numId w:val="4"/>
        </w:numPr>
        <w:spacing w:line="288" w:lineRule="auto"/>
        <w:ind w:left="360"/>
        <w:rPr>
          <w:rFonts w:ascii="Tahoma" w:eastAsia="Tahoma" w:hAnsi="Tahoma" w:cs="Tahoma"/>
          <w:sz w:val="24"/>
        </w:rPr>
      </w:pPr>
      <w:r>
        <w:rPr>
          <w:rFonts w:ascii="Tahoma" w:eastAsia="Tahoma" w:hAnsi="Tahoma" w:cs="Tahoma"/>
          <w:b/>
          <w:sz w:val="24"/>
        </w:rPr>
        <w:t>Net Loss:</w:t>
      </w:r>
      <w:r>
        <w:rPr>
          <w:rFonts w:ascii="Tahoma" w:eastAsia="Tahoma" w:hAnsi="Tahoma" w:cs="Tahoma"/>
          <w:sz w:val="24"/>
        </w:rPr>
        <w:t xml:space="preserve"> Net loss for the three months ended June 30, 2015 was ($7.1) million, or ($0.47) per share. Included in the loss for the quarter was $1.6 million of stock-based compensation expense. The net loss for the second quarter of 2015 was primarily driven by the Company’s operating expenses related to its research and development efforts, costs associated with the development of the Company’s consumer brand and cornerstone product, and general and administrative costs.</w:t>
      </w:r>
    </w:p>
    <w:p w14:paraId="00ED30DF" w14:textId="77777777" w:rsidR="007F78D5" w:rsidRDefault="007F78D5">
      <w:pPr>
        <w:spacing w:line="288" w:lineRule="auto"/>
        <w:ind w:left="360"/>
        <w:rPr>
          <w:rFonts w:ascii="Tahoma" w:eastAsia="Tahoma" w:hAnsi="Tahoma" w:cs="Tahoma"/>
          <w:sz w:val="24"/>
        </w:rPr>
      </w:pPr>
    </w:p>
    <w:p w14:paraId="26789130" w14:textId="77777777" w:rsidR="007F78D5" w:rsidRDefault="007F78D5">
      <w:pPr>
        <w:sectPr w:rsidR="007F78D5">
          <w:headerReference w:type="even" r:id="rId15"/>
          <w:headerReference w:type="default" r:id="rId16"/>
          <w:footerReference w:type="even" r:id="rId17"/>
          <w:footerReference w:type="default" r:id="rId18"/>
          <w:type w:val="continuous"/>
          <w:pgSz w:w="12240" w:h="15840"/>
          <w:pgMar w:top="1440" w:right="1800" w:bottom="1440" w:left="1800" w:header="160" w:footer="1240" w:gutter="0"/>
          <w:pgNumType w:chapSep="period"/>
          <w:cols w:space="720"/>
        </w:sectPr>
      </w:pPr>
    </w:p>
    <w:p w14:paraId="7A669E6D" w14:textId="77777777" w:rsidR="007F78D5" w:rsidRDefault="0097540C">
      <w:pPr>
        <w:spacing w:line="288" w:lineRule="auto"/>
        <w:rPr>
          <w:rFonts w:ascii="Tahoma" w:eastAsia="Tahoma" w:hAnsi="Tahoma" w:cs="Tahoma"/>
          <w:b/>
          <w:sz w:val="24"/>
        </w:rPr>
      </w:pPr>
      <w:r>
        <w:rPr>
          <w:rFonts w:ascii="Tahoma" w:eastAsia="Tahoma" w:hAnsi="Tahoma" w:cs="Tahoma"/>
          <w:b/>
          <w:sz w:val="24"/>
        </w:rPr>
        <w:lastRenderedPageBreak/>
        <w:t>Upcoming Events and Presentations</w:t>
      </w:r>
      <w:bookmarkStart w:id="3" w:name="Upcoming_Events_Webcast_Info"/>
      <w:bookmarkEnd w:id="3"/>
    </w:p>
    <w:p w14:paraId="4DD8A595" w14:textId="77777777" w:rsidR="007F78D5" w:rsidRDefault="007F78D5">
      <w:pPr>
        <w:spacing w:line="288" w:lineRule="auto"/>
        <w:rPr>
          <w:rFonts w:ascii="Tahoma" w:eastAsia="Tahoma" w:hAnsi="Tahoma" w:cs="Tahoma"/>
          <w:b/>
          <w:sz w:val="24"/>
        </w:rPr>
      </w:pPr>
    </w:p>
    <w:p w14:paraId="0B552F9B" w14:textId="77777777" w:rsidR="007F78D5" w:rsidRDefault="0097540C">
      <w:pPr>
        <w:numPr>
          <w:ilvl w:val="0"/>
          <w:numId w:val="6"/>
        </w:numPr>
        <w:spacing w:line="288" w:lineRule="auto"/>
        <w:ind w:left="360"/>
      </w:pPr>
      <w:r>
        <w:rPr>
          <w:rFonts w:ascii="Tahoma" w:eastAsia="Tahoma" w:hAnsi="Tahoma" w:cs="Tahoma"/>
          <w:sz w:val="24"/>
        </w:rPr>
        <w:t>Rodman &amp; Renshaw 17</w:t>
      </w:r>
      <w:r>
        <w:rPr>
          <w:rFonts w:ascii="Tahoma" w:eastAsia="Tahoma" w:hAnsi="Tahoma" w:cs="Tahoma"/>
          <w:sz w:val="24"/>
          <w:vertAlign w:val="superscript"/>
        </w:rPr>
        <w:t>th</w:t>
      </w:r>
      <w:r>
        <w:rPr>
          <w:rFonts w:ascii="Tahoma" w:eastAsia="Tahoma" w:hAnsi="Tahoma" w:cs="Tahoma"/>
          <w:sz w:val="24"/>
        </w:rPr>
        <w:t xml:space="preserve"> Annual Global Investment Conference, September 8-10, 2015 in New York, NY</w:t>
      </w:r>
    </w:p>
    <w:p w14:paraId="5E10050E" w14:textId="77777777" w:rsidR="007F78D5" w:rsidRDefault="0097540C">
      <w:pPr>
        <w:numPr>
          <w:ilvl w:val="0"/>
          <w:numId w:val="7"/>
        </w:numPr>
        <w:spacing w:line="288" w:lineRule="auto"/>
        <w:ind w:left="360"/>
      </w:pPr>
      <w:r>
        <w:rPr>
          <w:rFonts w:ascii="Tahoma" w:eastAsia="Tahoma" w:hAnsi="Tahoma" w:cs="Tahoma"/>
          <w:sz w:val="24"/>
        </w:rPr>
        <w:t>31st Congress of the European Committee for Treatment and Research of Multiple Sclerosis, October 8, 2015 in Barcelona, Spain</w:t>
      </w:r>
    </w:p>
    <w:p w14:paraId="279EC952" w14:textId="77777777" w:rsidR="007F78D5" w:rsidRDefault="0097540C">
      <w:pPr>
        <w:numPr>
          <w:ilvl w:val="0"/>
          <w:numId w:val="8"/>
        </w:numPr>
        <w:spacing w:line="288" w:lineRule="auto"/>
        <w:ind w:left="360"/>
      </w:pPr>
      <w:r>
        <w:rPr>
          <w:rFonts w:ascii="Tahoma" w:eastAsia="Tahoma" w:hAnsi="Tahoma" w:cs="Tahoma"/>
          <w:sz w:val="24"/>
        </w:rPr>
        <w:t>45th Annual Meeting of the Society for Neuroscience, October 20, 2015 in Chicago, IL</w:t>
      </w:r>
    </w:p>
    <w:p w14:paraId="119E2376" w14:textId="77777777" w:rsidR="007F78D5" w:rsidRDefault="007F78D5">
      <w:pPr>
        <w:spacing w:line="288" w:lineRule="auto"/>
        <w:ind w:left="360"/>
        <w:rPr>
          <w:rFonts w:ascii="Tahoma" w:eastAsia="Tahoma" w:hAnsi="Tahoma" w:cs="Tahoma"/>
          <w:sz w:val="24"/>
        </w:rPr>
      </w:pPr>
    </w:p>
    <w:p w14:paraId="7AC32315" w14:textId="77777777" w:rsidR="007F78D5" w:rsidRDefault="0097540C">
      <w:pPr>
        <w:spacing w:after="240" w:line="288" w:lineRule="auto"/>
        <w:rPr>
          <w:rFonts w:ascii="Tahoma" w:eastAsia="Tahoma" w:hAnsi="Tahoma" w:cs="Tahoma"/>
          <w:b/>
          <w:sz w:val="24"/>
        </w:rPr>
      </w:pPr>
      <w:r>
        <w:rPr>
          <w:rFonts w:ascii="Tahoma" w:eastAsia="Tahoma" w:hAnsi="Tahoma" w:cs="Tahoma"/>
          <w:b/>
          <w:sz w:val="24"/>
        </w:rPr>
        <w:t>Conference Call and Webcast</w:t>
      </w:r>
    </w:p>
    <w:p w14:paraId="2B25C5D4" w14:textId="77777777" w:rsidR="007F78D5" w:rsidRDefault="0097540C">
      <w:pPr>
        <w:spacing w:after="240" w:line="288" w:lineRule="auto"/>
        <w:rPr>
          <w:rFonts w:ascii="Tahoma" w:eastAsia="Tahoma" w:hAnsi="Tahoma" w:cs="Tahoma"/>
          <w:sz w:val="24"/>
        </w:rPr>
      </w:pPr>
      <w:r>
        <w:rPr>
          <w:rFonts w:ascii="Tahoma" w:eastAsia="Tahoma" w:hAnsi="Tahoma" w:cs="Tahoma"/>
          <w:sz w:val="24"/>
        </w:rPr>
        <w:t>The Company will host a conference call and webcast today at 9:00 a.m. ET to provide an update on the Company and discuss second quarter 2015 financial results. To access the conference call, please dial (855) 780-7202 (U.S. and Canada) or (631) 485-4874 (International) five minutes prior to the start time.</w:t>
      </w:r>
    </w:p>
    <w:p w14:paraId="632330C1" w14:textId="77777777" w:rsidR="007F78D5" w:rsidRDefault="0097540C">
      <w:pPr>
        <w:spacing w:line="288" w:lineRule="auto"/>
        <w:rPr>
          <w:rFonts w:ascii="Tahoma" w:eastAsia="Tahoma" w:hAnsi="Tahoma" w:cs="Tahoma"/>
          <w:sz w:val="24"/>
        </w:rPr>
      </w:pPr>
      <w:r>
        <w:rPr>
          <w:rFonts w:ascii="Tahoma" w:eastAsia="Tahoma" w:hAnsi="Tahoma" w:cs="Tahoma"/>
          <w:sz w:val="24"/>
        </w:rPr>
        <w:t xml:space="preserve">A live webcast may be accessed in the Investors section of the Company’s website at </w:t>
      </w:r>
      <w:r>
        <w:rPr>
          <w:rFonts w:ascii="Tahoma" w:eastAsia="Tahoma" w:hAnsi="Tahoma" w:cs="Tahoma"/>
          <w:color w:val="0000FF"/>
          <w:sz w:val="24"/>
          <w:u w:val="single" w:color="0000FF"/>
        </w:rPr>
        <w:t>www.flex-pharma.com</w:t>
      </w:r>
      <w:r>
        <w:rPr>
          <w:rFonts w:ascii="Tahoma" w:eastAsia="Tahoma" w:hAnsi="Tahoma" w:cs="Tahoma"/>
          <w:sz w:val="24"/>
        </w:rPr>
        <w:t>. Please log on to the Flex Pharma website approximately 15 minutes prior to the scheduled webcast to ensure adequate time for any software downloads that may be required. A replay of the webcast will be available on Flex Pharma’s website for three months.</w:t>
      </w:r>
    </w:p>
    <w:p w14:paraId="581234AD" w14:textId="77777777" w:rsidR="007F78D5" w:rsidRDefault="007F78D5">
      <w:pPr>
        <w:spacing w:line="288" w:lineRule="auto"/>
      </w:pPr>
    </w:p>
    <w:p w14:paraId="4D7BC583" w14:textId="77777777" w:rsidR="007F78D5" w:rsidRDefault="007F78D5">
      <w:pPr>
        <w:sectPr w:rsidR="007F78D5">
          <w:headerReference w:type="even" r:id="rId19"/>
          <w:headerReference w:type="default" r:id="rId20"/>
          <w:footerReference w:type="even" r:id="rId21"/>
          <w:footerReference w:type="default" r:id="rId22"/>
          <w:type w:val="continuous"/>
          <w:pgSz w:w="12240" w:h="15840"/>
          <w:pgMar w:top="1440" w:right="1800" w:bottom="1440" w:left="1800" w:header="160" w:footer="1240" w:gutter="0"/>
          <w:pgNumType w:chapSep="period"/>
          <w:cols w:space="720"/>
        </w:sectPr>
      </w:pPr>
    </w:p>
    <w:p w14:paraId="20550550" w14:textId="77777777" w:rsidR="007F78D5" w:rsidRDefault="0097540C">
      <w:pPr>
        <w:spacing w:after="240" w:line="288" w:lineRule="auto"/>
        <w:rPr>
          <w:rFonts w:ascii="Tahoma" w:eastAsia="Tahoma" w:hAnsi="Tahoma" w:cs="Tahoma"/>
          <w:b/>
          <w:sz w:val="24"/>
        </w:rPr>
      </w:pPr>
      <w:r>
        <w:rPr>
          <w:rFonts w:ascii="Tahoma" w:eastAsia="Tahoma" w:hAnsi="Tahoma" w:cs="Tahoma"/>
          <w:b/>
          <w:sz w:val="24"/>
        </w:rPr>
        <w:lastRenderedPageBreak/>
        <w:t>About Flex Pharma</w:t>
      </w:r>
      <w:bookmarkStart w:id="4" w:name="About_Flex_Forward_Looking_Statements"/>
      <w:bookmarkEnd w:id="4"/>
    </w:p>
    <w:p w14:paraId="78B995EA" w14:textId="77777777" w:rsidR="007F78D5" w:rsidRDefault="0097540C">
      <w:pPr>
        <w:spacing w:line="288" w:lineRule="auto"/>
        <w:rPr>
          <w:rFonts w:ascii="Tahoma" w:eastAsia="Tahoma" w:hAnsi="Tahoma" w:cs="Tahoma"/>
          <w:sz w:val="24"/>
        </w:rPr>
      </w:pPr>
      <w:r>
        <w:rPr>
          <w:rFonts w:ascii="Tahoma" w:eastAsia="Tahoma" w:hAnsi="Tahoma" w:cs="Tahoma"/>
          <w:sz w:val="24"/>
        </w:rPr>
        <w:t>Flex Pharma, Inc. is a biotechnology company that is developing innovative and proprietary treatments for exercise-associated muscle cramps, nocturnal leg cramps, and spasms associated with severe neuromuscular conditions. In three randomized, blinded, placebo-controlled, cross-over studies, Flex Pharma's proprietary treatment has shown a statistically significant reduction in the intensity of muscle cramps in healthy normal volunteers. In addition, the proprietary treatment has been demonstrated to prevent muscle cramps in an initial study of athletes participating in high intensity sports.</w:t>
      </w:r>
    </w:p>
    <w:p w14:paraId="02B939A2" w14:textId="77777777" w:rsidR="007F78D5" w:rsidRDefault="007F78D5">
      <w:pPr>
        <w:spacing w:line="288" w:lineRule="auto"/>
      </w:pPr>
    </w:p>
    <w:p w14:paraId="16E4A6A3" w14:textId="77777777" w:rsidR="007F78D5" w:rsidRDefault="0097540C">
      <w:pPr>
        <w:spacing w:line="288" w:lineRule="auto"/>
        <w:rPr>
          <w:rFonts w:ascii="Tahoma" w:eastAsia="Tahoma" w:hAnsi="Tahoma" w:cs="Tahoma"/>
          <w:sz w:val="24"/>
        </w:rPr>
      </w:pPr>
      <w:r>
        <w:rPr>
          <w:rFonts w:ascii="Tahoma" w:eastAsia="Tahoma" w:hAnsi="Tahoma" w:cs="Tahoma"/>
          <w:sz w:val="24"/>
        </w:rPr>
        <w:t>Individuals can follow the Company on twitter (@</w:t>
      </w:r>
      <w:proofErr w:type="spellStart"/>
      <w:r>
        <w:rPr>
          <w:rFonts w:ascii="Tahoma" w:eastAsia="Tahoma" w:hAnsi="Tahoma" w:cs="Tahoma"/>
          <w:sz w:val="24"/>
        </w:rPr>
        <w:t>flexpharma</w:t>
      </w:r>
      <w:proofErr w:type="spellEnd"/>
      <w:r>
        <w:rPr>
          <w:rFonts w:ascii="Tahoma" w:eastAsia="Tahoma" w:hAnsi="Tahoma" w:cs="Tahoma"/>
          <w:sz w:val="24"/>
        </w:rPr>
        <w:t>) and the Company's website (http://ir.flex-pharma.com/) to see the latest progress of the Company's pre-launch activities for its consumer product to prevent and treat exercise-associated muscle cramps.</w:t>
      </w:r>
    </w:p>
    <w:p w14:paraId="5CD98A31" w14:textId="77777777" w:rsidR="007F78D5" w:rsidRDefault="007F78D5">
      <w:pPr>
        <w:spacing w:line="288" w:lineRule="auto"/>
      </w:pPr>
    </w:p>
    <w:p w14:paraId="20975584" w14:textId="77777777" w:rsidR="007F78D5" w:rsidRDefault="0097540C">
      <w:pPr>
        <w:spacing w:line="288" w:lineRule="auto"/>
        <w:rPr>
          <w:rFonts w:ascii="Tahoma" w:eastAsia="Tahoma" w:hAnsi="Tahoma" w:cs="Tahoma"/>
          <w:sz w:val="24"/>
        </w:rPr>
      </w:pPr>
      <w:r>
        <w:rPr>
          <w:rFonts w:ascii="Tahoma" w:eastAsia="Tahoma" w:hAnsi="Tahoma" w:cs="Tahoma"/>
          <w:sz w:val="24"/>
        </w:rPr>
        <w:t xml:space="preserve">Flex Pharma was founded by National Academy of Sciences members Rod MacKinnon, M.D. (2003 Nobel Laureate), and Bruce Bean, Ph.D., recognized leaders in the fields of ion channels and neurobiology, along with Chairman and Chief Executive Officer Christoph </w:t>
      </w:r>
      <w:proofErr w:type="spellStart"/>
      <w:r>
        <w:rPr>
          <w:rFonts w:ascii="Tahoma" w:eastAsia="Tahoma" w:hAnsi="Tahoma" w:cs="Tahoma"/>
          <w:sz w:val="24"/>
        </w:rPr>
        <w:t>Westphal</w:t>
      </w:r>
      <w:proofErr w:type="spellEnd"/>
      <w:r>
        <w:rPr>
          <w:rFonts w:ascii="Tahoma" w:eastAsia="Tahoma" w:hAnsi="Tahoma" w:cs="Tahoma"/>
          <w:sz w:val="24"/>
        </w:rPr>
        <w:t>, M.D., Ph.D.</w:t>
      </w:r>
    </w:p>
    <w:p w14:paraId="68B86904" w14:textId="77777777" w:rsidR="007F78D5" w:rsidRDefault="007F78D5">
      <w:pPr>
        <w:spacing w:line="288" w:lineRule="auto"/>
      </w:pPr>
    </w:p>
    <w:p w14:paraId="05A1A3E9" w14:textId="77777777" w:rsidR="007F78D5" w:rsidRDefault="0097540C">
      <w:pPr>
        <w:spacing w:after="240" w:line="288" w:lineRule="auto"/>
        <w:rPr>
          <w:rFonts w:ascii="Tahoma" w:eastAsia="Tahoma" w:hAnsi="Tahoma" w:cs="Tahoma"/>
          <w:b/>
          <w:sz w:val="24"/>
        </w:rPr>
      </w:pPr>
      <w:r>
        <w:rPr>
          <w:rFonts w:ascii="Tahoma" w:eastAsia="Tahoma" w:hAnsi="Tahoma" w:cs="Tahoma"/>
          <w:b/>
          <w:sz w:val="24"/>
        </w:rPr>
        <w:t>Forward-Looking Statements</w:t>
      </w:r>
    </w:p>
    <w:p w14:paraId="2519D2E0" w14:textId="77777777" w:rsidR="007F78D5" w:rsidRDefault="0097540C">
      <w:pPr>
        <w:spacing w:line="288" w:lineRule="auto"/>
        <w:rPr>
          <w:rFonts w:ascii="Tahoma" w:eastAsia="Tahoma" w:hAnsi="Tahoma" w:cs="Tahoma"/>
          <w:sz w:val="24"/>
        </w:rPr>
      </w:pPr>
      <w:r>
        <w:rPr>
          <w:rFonts w:ascii="Tahoma" w:eastAsia="Tahoma" w:hAnsi="Tahoma" w:cs="Tahoma"/>
          <w:sz w:val="24"/>
        </w:rPr>
        <w:t xml:space="preserve">This press release contains forward-looking statements for purposes of the safe harbor provisions of the Private Securities Litigation Reform Act of 1995. Forward-looking statements include statements regarding our intentions, beliefs, projections, outlook, analyses or current expectations concerning, among other things: our expectations regarding the identification of a drug product candidate, the design and timing of ongoing and anticipated clinical studies, our expectations regarding the availability of our capital resources, and our plans to develop and commercialize our consumer products. These forward-looking statements are based on management's expectations and assumptions as of the date of this press release and are subject to numerous risks and uncertainties, which could cause actual results to differ materially from those expressed or implied by such statements. These risks and uncertainties include, without limitation: the status, timing, costs, results and interpretation of our clinical studies; the uncertainties inherent in conducting clinical studies; results from our ongoing and planned preclinical development; expectations of our ability to make regulatory filings and obtain and maintain regulatory approvals, our ability to develop and commercialize our consumer products; anticipated positioning and product attributes of our consumer products; results of early clinical studies as indicative of the results of future trials; availability of funding sufficient for our foreseeable and unforeseeable operating expenses and capital expenditure requirements; other matters that could affect the availability or commercial potential of our consumer or drug product candidates; the inherent uncertainties </w:t>
      </w:r>
      <w:r>
        <w:rPr>
          <w:rFonts w:ascii="Tahoma" w:eastAsia="Tahoma" w:hAnsi="Tahoma" w:cs="Tahoma"/>
          <w:sz w:val="24"/>
        </w:rPr>
        <w:lastRenderedPageBreak/>
        <w:t>associated with intellectual property; and other factors discussed in greater detail under the heading "Risk Factors" in our Annual Report on Form 10-K for the year ended December 31, 2014 and subsequent filings with the Securities and Exchange Commission (SEC). You are encouraged to read our filings with the SEC, available at www.sec.gov, for a discussion of these and other risks and uncertainties. Any forward-looking statements that we make in this press release speak only as of the date of this press release. We assume no obligation to update our forward-looking statements whether as a result of new information, future events or otherwise, after the date of this press release.</w:t>
      </w:r>
    </w:p>
    <w:p w14:paraId="6ABB9BD0" w14:textId="77777777" w:rsidR="007F78D5" w:rsidRDefault="007F78D5">
      <w:pPr>
        <w:spacing w:line="288" w:lineRule="auto"/>
      </w:pPr>
    </w:p>
    <w:p w14:paraId="3A555C7F" w14:textId="77777777" w:rsidR="007F78D5" w:rsidRDefault="007F78D5">
      <w:pPr>
        <w:spacing w:line="288" w:lineRule="auto"/>
      </w:pPr>
    </w:p>
    <w:p w14:paraId="77CA371F" w14:textId="77777777" w:rsidR="007F78D5" w:rsidRDefault="0097540C">
      <w:pPr>
        <w:spacing w:after="280" w:line="288" w:lineRule="auto"/>
        <w:jc w:val="center"/>
        <w:rPr>
          <w:rFonts w:ascii="Tahoma" w:eastAsia="Tahoma" w:hAnsi="Tahoma" w:cs="Tahoma"/>
          <w:sz w:val="24"/>
        </w:rPr>
      </w:pPr>
      <w:r>
        <w:rPr>
          <w:rFonts w:ascii="Tahoma" w:eastAsia="Tahoma" w:hAnsi="Tahoma" w:cs="Tahoma"/>
          <w:sz w:val="24"/>
        </w:rPr>
        <w:t>###</w:t>
      </w:r>
    </w:p>
    <w:p w14:paraId="23B188F0" w14:textId="77777777" w:rsidR="007F78D5" w:rsidRDefault="0097540C">
      <w:pPr>
        <w:spacing w:line="288" w:lineRule="auto"/>
        <w:rPr>
          <w:rFonts w:ascii="Tahoma" w:eastAsia="Tahoma" w:hAnsi="Tahoma" w:cs="Tahoma"/>
          <w:sz w:val="24"/>
        </w:rPr>
      </w:pPr>
      <w:r>
        <w:rPr>
          <w:rFonts w:ascii="Tahoma" w:eastAsia="Tahoma" w:hAnsi="Tahoma" w:cs="Tahoma"/>
          <w:sz w:val="24"/>
        </w:rPr>
        <w:t>Contact:</w:t>
      </w:r>
    </w:p>
    <w:p w14:paraId="6CDF2F95" w14:textId="77777777" w:rsidR="007F78D5" w:rsidRDefault="0097540C">
      <w:pPr>
        <w:spacing w:line="288" w:lineRule="auto"/>
        <w:rPr>
          <w:rFonts w:ascii="Tahoma" w:eastAsia="Tahoma" w:hAnsi="Tahoma" w:cs="Tahoma"/>
          <w:sz w:val="24"/>
        </w:rPr>
      </w:pPr>
      <w:r>
        <w:rPr>
          <w:rFonts w:ascii="Tahoma" w:eastAsia="Tahoma" w:hAnsi="Tahoma" w:cs="Tahoma"/>
          <w:sz w:val="24"/>
        </w:rPr>
        <w:t>Elizabeth Woo</w:t>
      </w:r>
    </w:p>
    <w:p w14:paraId="49316382" w14:textId="77777777" w:rsidR="007F78D5" w:rsidRDefault="0097540C">
      <w:pPr>
        <w:spacing w:line="288" w:lineRule="auto"/>
        <w:rPr>
          <w:rFonts w:ascii="Tahoma" w:eastAsia="Tahoma" w:hAnsi="Tahoma" w:cs="Tahoma"/>
          <w:sz w:val="24"/>
        </w:rPr>
      </w:pPr>
      <w:r>
        <w:rPr>
          <w:rFonts w:ascii="Tahoma" w:eastAsia="Tahoma" w:hAnsi="Tahoma" w:cs="Tahoma"/>
          <w:sz w:val="24"/>
        </w:rPr>
        <w:t>SVP, Investor Relations &amp; Corporate Communications</w:t>
      </w:r>
      <w:r>
        <w:tab/>
      </w:r>
    </w:p>
    <w:p w14:paraId="06C36026" w14:textId="77777777" w:rsidR="007F78D5" w:rsidRDefault="0097540C">
      <w:pPr>
        <w:spacing w:line="288" w:lineRule="auto"/>
        <w:rPr>
          <w:rFonts w:ascii="Tahoma" w:eastAsia="Tahoma" w:hAnsi="Tahoma" w:cs="Tahoma"/>
          <w:sz w:val="24"/>
        </w:rPr>
      </w:pPr>
      <w:r>
        <w:rPr>
          <w:rFonts w:ascii="Tahoma" w:eastAsia="Tahoma" w:hAnsi="Tahoma" w:cs="Tahoma"/>
          <w:sz w:val="24"/>
        </w:rPr>
        <w:t>Flex Pharma, Inc.</w:t>
      </w:r>
    </w:p>
    <w:p w14:paraId="104C5731" w14:textId="77777777" w:rsidR="007F78D5" w:rsidRDefault="0097540C">
      <w:pPr>
        <w:spacing w:line="288" w:lineRule="auto"/>
        <w:rPr>
          <w:rFonts w:ascii="Tahoma" w:eastAsia="Tahoma" w:hAnsi="Tahoma" w:cs="Tahoma"/>
          <w:sz w:val="24"/>
        </w:rPr>
      </w:pPr>
      <w:r>
        <w:rPr>
          <w:rFonts w:ascii="Tahoma" w:eastAsia="Tahoma" w:hAnsi="Tahoma" w:cs="Tahoma"/>
          <w:color w:val="0000FF"/>
          <w:sz w:val="24"/>
        </w:rPr>
        <w:t>irdept@flex-pharma.com</w:t>
      </w:r>
    </w:p>
    <w:p w14:paraId="5BB9ADEB" w14:textId="77777777" w:rsidR="007F78D5" w:rsidRDefault="0097540C">
      <w:pPr>
        <w:spacing w:after="400" w:line="288" w:lineRule="auto"/>
        <w:rPr>
          <w:rFonts w:ascii="Tahoma" w:eastAsia="Tahoma" w:hAnsi="Tahoma" w:cs="Tahoma"/>
          <w:sz w:val="24"/>
        </w:rPr>
      </w:pPr>
      <w:r>
        <w:rPr>
          <w:rFonts w:ascii="Tahoma" w:eastAsia="Tahoma" w:hAnsi="Tahoma" w:cs="Tahoma"/>
          <w:sz w:val="24"/>
        </w:rPr>
        <w:t>617-874-1829</w:t>
      </w:r>
    </w:p>
    <w:p w14:paraId="7D51F645" w14:textId="77777777" w:rsidR="007F78D5" w:rsidRDefault="0097540C">
      <w:pPr>
        <w:spacing w:line="288" w:lineRule="auto"/>
        <w:rPr>
          <w:rFonts w:ascii="Tahoma" w:eastAsia="Tahoma" w:hAnsi="Tahoma" w:cs="Tahoma"/>
          <w:sz w:val="24"/>
        </w:rPr>
      </w:pPr>
      <w:r>
        <w:rPr>
          <w:rFonts w:ascii="Tahoma" w:eastAsia="Tahoma" w:hAnsi="Tahoma" w:cs="Tahoma"/>
          <w:sz w:val="24"/>
        </w:rPr>
        <w:t>- Financial Tables to Follow -</w:t>
      </w:r>
    </w:p>
    <w:p w14:paraId="4C61B678" w14:textId="77777777" w:rsidR="007F78D5" w:rsidRDefault="007F78D5">
      <w:pPr>
        <w:spacing w:line="288" w:lineRule="auto"/>
        <w:rPr>
          <w:rFonts w:ascii="Tahoma" w:eastAsia="Tahoma" w:hAnsi="Tahoma" w:cs="Tahoma"/>
          <w:sz w:val="24"/>
        </w:rPr>
      </w:pPr>
    </w:p>
    <w:p w14:paraId="5BA1E7BE" w14:textId="77777777" w:rsidR="007F78D5" w:rsidRDefault="007F78D5">
      <w:pPr>
        <w:sectPr w:rsidR="007F78D5">
          <w:headerReference w:type="even" r:id="rId23"/>
          <w:headerReference w:type="default" r:id="rId24"/>
          <w:footerReference w:type="even" r:id="rId25"/>
          <w:footerReference w:type="default" r:id="rId26"/>
          <w:type w:val="continuous"/>
          <w:pgSz w:w="12240" w:h="15840"/>
          <w:pgMar w:top="1440" w:right="1800" w:bottom="1440" w:left="1800" w:header="160" w:footer="1240" w:gutter="0"/>
          <w:pgNumType w:chapSep="period"/>
          <w:cols w:space="720"/>
        </w:sectPr>
      </w:pPr>
    </w:p>
    <w:p w14:paraId="6D444F2B" w14:textId="77777777" w:rsidR="007F78D5" w:rsidRDefault="007F78D5">
      <w:pPr>
        <w:spacing w:after="140"/>
        <w:ind w:hanging="1440"/>
      </w:pPr>
      <w:bookmarkStart w:id="5" w:name="Financials"/>
      <w:bookmarkEnd w:id="5"/>
    </w:p>
    <w:tbl>
      <w:tblPr>
        <w:tblW w:w="10800" w:type="dxa"/>
        <w:jc w:val="center"/>
        <w:tblLayout w:type="fixed"/>
        <w:tblCellMar>
          <w:left w:w="10" w:type="dxa"/>
          <w:right w:w="10" w:type="dxa"/>
        </w:tblCellMar>
        <w:tblLook w:val="04A0" w:firstRow="1" w:lastRow="0" w:firstColumn="1" w:lastColumn="0" w:noHBand="0" w:noVBand="1"/>
      </w:tblPr>
      <w:tblGrid>
        <w:gridCol w:w="6320"/>
        <w:gridCol w:w="240"/>
        <w:gridCol w:w="2000"/>
        <w:gridCol w:w="240"/>
        <w:gridCol w:w="2000"/>
      </w:tblGrid>
      <w:tr w:rsidR="007F78D5" w14:paraId="117E97F9" w14:textId="77777777">
        <w:trPr>
          <w:trHeight w:hRule="exact" w:val="320"/>
          <w:jc w:val="center"/>
        </w:trPr>
        <w:tc>
          <w:tcPr>
            <w:tcW w:w="6320" w:type="dxa"/>
            <w:tcMar>
              <w:left w:w="60" w:type="dxa"/>
              <w:right w:w="40" w:type="dxa"/>
            </w:tcMar>
            <w:vAlign w:val="bottom"/>
          </w:tcPr>
          <w:p w14:paraId="709E1B15" w14:textId="77777777" w:rsidR="007F78D5" w:rsidRDefault="0097540C">
            <w:pPr>
              <w:keepNext/>
              <w:keepLines/>
              <w:spacing w:before="40" w:after="40"/>
              <w:rPr>
                <w:rFonts w:ascii="Tahoma" w:eastAsia="Tahoma" w:hAnsi="Tahoma" w:cs="Tahoma"/>
                <w:b/>
                <w:sz w:val="22"/>
              </w:rPr>
            </w:pPr>
            <w:r>
              <w:rPr>
                <w:rFonts w:ascii="Tahoma" w:eastAsia="Tahoma" w:hAnsi="Tahoma" w:cs="Tahoma"/>
                <w:b/>
                <w:color w:val="000000"/>
                <w:sz w:val="22"/>
              </w:rPr>
              <w:t>Flex Pharma, Inc.</w:t>
            </w:r>
          </w:p>
        </w:tc>
        <w:tc>
          <w:tcPr>
            <w:tcW w:w="240" w:type="dxa"/>
            <w:tcMar>
              <w:left w:w="60" w:type="dxa"/>
              <w:right w:w="0" w:type="dxa"/>
            </w:tcMar>
            <w:vAlign w:val="bottom"/>
          </w:tcPr>
          <w:p w14:paraId="7C81D535" w14:textId="77777777" w:rsidR="007F78D5" w:rsidRDefault="007F78D5">
            <w:pPr>
              <w:keepNext/>
              <w:keepLines/>
              <w:spacing w:before="40" w:after="40"/>
            </w:pPr>
          </w:p>
        </w:tc>
        <w:tc>
          <w:tcPr>
            <w:tcW w:w="2000" w:type="dxa"/>
            <w:tcMar>
              <w:left w:w="60" w:type="dxa"/>
              <w:right w:w="0" w:type="dxa"/>
            </w:tcMar>
            <w:vAlign w:val="bottom"/>
          </w:tcPr>
          <w:p w14:paraId="1BDD57B4" w14:textId="77777777" w:rsidR="007F78D5" w:rsidRDefault="007F78D5">
            <w:pPr>
              <w:keepNext/>
              <w:keepLines/>
              <w:spacing w:before="40" w:after="40"/>
            </w:pPr>
          </w:p>
        </w:tc>
        <w:tc>
          <w:tcPr>
            <w:tcW w:w="240" w:type="dxa"/>
            <w:tcMar>
              <w:left w:w="60" w:type="dxa"/>
              <w:right w:w="0" w:type="dxa"/>
            </w:tcMar>
            <w:vAlign w:val="bottom"/>
          </w:tcPr>
          <w:p w14:paraId="157A5B33" w14:textId="77777777" w:rsidR="007F78D5" w:rsidRDefault="007F78D5">
            <w:pPr>
              <w:keepNext/>
              <w:keepLines/>
              <w:spacing w:before="40" w:after="40"/>
            </w:pPr>
          </w:p>
        </w:tc>
        <w:tc>
          <w:tcPr>
            <w:tcW w:w="2000" w:type="dxa"/>
            <w:tcMar>
              <w:left w:w="60" w:type="dxa"/>
              <w:right w:w="0" w:type="dxa"/>
            </w:tcMar>
            <w:vAlign w:val="bottom"/>
          </w:tcPr>
          <w:p w14:paraId="12097FF5" w14:textId="77777777" w:rsidR="007F78D5" w:rsidRDefault="007F78D5">
            <w:pPr>
              <w:keepNext/>
              <w:keepLines/>
              <w:spacing w:before="40" w:after="40"/>
            </w:pPr>
          </w:p>
        </w:tc>
      </w:tr>
      <w:tr w:rsidR="008A213B" w14:paraId="686814C6" w14:textId="77777777" w:rsidTr="008A213B">
        <w:trPr>
          <w:trHeight w:hRule="exact" w:val="320"/>
          <w:jc w:val="center"/>
        </w:trPr>
        <w:tc>
          <w:tcPr>
            <w:tcW w:w="8560" w:type="dxa"/>
            <w:gridSpan w:val="3"/>
            <w:tcMar>
              <w:left w:w="60" w:type="dxa"/>
              <w:right w:w="40" w:type="dxa"/>
            </w:tcMar>
            <w:vAlign w:val="bottom"/>
          </w:tcPr>
          <w:p w14:paraId="4098E740" w14:textId="77777777" w:rsidR="007F78D5" w:rsidRDefault="0097540C">
            <w:pPr>
              <w:keepNext/>
              <w:keepLines/>
              <w:spacing w:before="40" w:after="40"/>
              <w:rPr>
                <w:rFonts w:ascii="Tahoma" w:eastAsia="Tahoma" w:hAnsi="Tahoma" w:cs="Tahoma"/>
                <w:b/>
                <w:sz w:val="22"/>
              </w:rPr>
            </w:pPr>
            <w:r>
              <w:rPr>
                <w:rFonts w:ascii="Tahoma" w:eastAsia="Tahoma" w:hAnsi="Tahoma" w:cs="Tahoma"/>
                <w:b/>
                <w:color w:val="000000"/>
                <w:sz w:val="22"/>
              </w:rPr>
              <w:t>Unaudited Selected Consolidated Balance Sheet Information</w:t>
            </w:r>
          </w:p>
        </w:tc>
        <w:tc>
          <w:tcPr>
            <w:tcW w:w="240" w:type="dxa"/>
            <w:tcMar>
              <w:left w:w="60" w:type="dxa"/>
              <w:right w:w="0" w:type="dxa"/>
            </w:tcMar>
            <w:vAlign w:val="bottom"/>
          </w:tcPr>
          <w:p w14:paraId="44EC5A24" w14:textId="77777777" w:rsidR="007F78D5" w:rsidRDefault="007F78D5">
            <w:pPr>
              <w:keepNext/>
              <w:keepLines/>
              <w:spacing w:before="40" w:after="40"/>
            </w:pPr>
          </w:p>
        </w:tc>
        <w:tc>
          <w:tcPr>
            <w:tcW w:w="2000" w:type="dxa"/>
            <w:tcMar>
              <w:left w:w="60" w:type="dxa"/>
              <w:right w:w="0" w:type="dxa"/>
            </w:tcMar>
            <w:vAlign w:val="bottom"/>
          </w:tcPr>
          <w:p w14:paraId="3A4AF364" w14:textId="77777777" w:rsidR="007F78D5" w:rsidRDefault="007F78D5">
            <w:pPr>
              <w:keepNext/>
              <w:keepLines/>
              <w:spacing w:before="40" w:after="40"/>
            </w:pPr>
          </w:p>
        </w:tc>
      </w:tr>
      <w:tr w:rsidR="007F78D5" w14:paraId="0B40105A" w14:textId="77777777">
        <w:trPr>
          <w:trHeight w:hRule="exact" w:val="320"/>
          <w:jc w:val="center"/>
        </w:trPr>
        <w:tc>
          <w:tcPr>
            <w:tcW w:w="6320" w:type="dxa"/>
            <w:tcMar>
              <w:left w:w="60" w:type="dxa"/>
              <w:right w:w="40" w:type="dxa"/>
            </w:tcMar>
            <w:vAlign w:val="bottom"/>
          </w:tcPr>
          <w:p w14:paraId="7BF1DAC6" w14:textId="77777777" w:rsidR="007F78D5" w:rsidRDefault="0097540C">
            <w:pPr>
              <w:keepNext/>
              <w:keepLines/>
              <w:spacing w:before="40" w:after="40"/>
              <w:rPr>
                <w:rFonts w:ascii="Tahoma" w:eastAsia="Tahoma" w:hAnsi="Tahoma" w:cs="Tahoma"/>
                <w:b/>
                <w:sz w:val="22"/>
              </w:rPr>
            </w:pPr>
            <w:r>
              <w:rPr>
                <w:rFonts w:ascii="Tahoma" w:eastAsia="Tahoma" w:hAnsi="Tahoma" w:cs="Tahoma"/>
                <w:b/>
                <w:color w:val="000000"/>
                <w:sz w:val="22"/>
              </w:rPr>
              <w:t>(in thousands)</w:t>
            </w:r>
          </w:p>
        </w:tc>
        <w:tc>
          <w:tcPr>
            <w:tcW w:w="240" w:type="dxa"/>
            <w:tcMar>
              <w:left w:w="60" w:type="dxa"/>
              <w:right w:w="0" w:type="dxa"/>
            </w:tcMar>
            <w:vAlign w:val="bottom"/>
          </w:tcPr>
          <w:p w14:paraId="0862DEE3" w14:textId="77777777" w:rsidR="007F78D5" w:rsidRDefault="007F78D5">
            <w:pPr>
              <w:keepNext/>
              <w:keepLines/>
              <w:spacing w:before="40" w:after="40"/>
            </w:pPr>
          </w:p>
        </w:tc>
        <w:tc>
          <w:tcPr>
            <w:tcW w:w="2000" w:type="dxa"/>
            <w:tcMar>
              <w:left w:w="60" w:type="dxa"/>
              <w:right w:w="0" w:type="dxa"/>
            </w:tcMar>
            <w:vAlign w:val="bottom"/>
          </w:tcPr>
          <w:p w14:paraId="540D4ECE" w14:textId="77777777" w:rsidR="007F78D5" w:rsidRDefault="007F78D5">
            <w:pPr>
              <w:keepNext/>
              <w:keepLines/>
              <w:spacing w:before="40" w:after="40"/>
            </w:pPr>
          </w:p>
        </w:tc>
        <w:tc>
          <w:tcPr>
            <w:tcW w:w="240" w:type="dxa"/>
            <w:tcMar>
              <w:left w:w="60" w:type="dxa"/>
              <w:right w:w="0" w:type="dxa"/>
            </w:tcMar>
            <w:vAlign w:val="bottom"/>
          </w:tcPr>
          <w:p w14:paraId="1D951259" w14:textId="77777777" w:rsidR="007F78D5" w:rsidRDefault="007F78D5">
            <w:pPr>
              <w:keepNext/>
              <w:keepLines/>
              <w:spacing w:before="40" w:after="40"/>
            </w:pPr>
          </w:p>
        </w:tc>
        <w:tc>
          <w:tcPr>
            <w:tcW w:w="2000" w:type="dxa"/>
            <w:tcMar>
              <w:left w:w="60" w:type="dxa"/>
              <w:right w:w="0" w:type="dxa"/>
            </w:tcMar>
            <w:vAlign w:val="bottom"/>
          </w:tcPr>
          <w:p w14:paraId="7AEDAE2E" w14:textId="77777777" w:rsidR="007F78D5" w:rsidRDefault="007F78D5">
            <w:pPr>
              <w:keepNext/>
              <w:keepLines/>
              <w:spacing w:before="40" w:after="40"/>
            </w:pPr>
          </w:p>
        </w:tc>
      </w:tr>
      <w:tr w:rsidR="007F78D5" w14:paraId="1C07DAC1" w14:textId="77777777">
        <w:trPr>
          <w:trHeight w:hRule="exact" w:val="540"/>
          <w:jc w:val="center"/>
        </w:trPr>
        <w:tc>
          <w:tcPr>
            <w:tcW w:w="6320" w:type="dxa"/>
            <w:tcMar>
              <w:left w:w="60" w:type="dxa"/>
              <w:right w:w="0" w:type="dxa"/>
            </w:tcMar>
            <w:vAlign w:val="bottom"/>
          </w:tcPr>
          <w:p w14:paraId="33C00711" w14:textId="77777777" w:rsidR="007F78D5" w:rsidRDefault="007F78D5">
            <w:pPr>
              <w:keepNext/>
              <w:keepLines/>
              <w:spacing w:before="40" w:after="40"/>
            </w:pPr>
          </w:p>
        </w:tc>
        <w:tc>
          <w:tcPr>
            <w:tcW w:w="240" w:type="dxa"/>
            <w:tcMar>
              <w:left w:w="60" w:type="dxa"/>
              <w:right w:w="0" w:type="dxa"/>
            </w:tcMar>
            <w:vAlign w:val="bottom"/>
          </w:tcPr>
          <w:p w14:paraId="68DBDDC2" w14:textId="77777777" w:rsidR="007F78D5" w:rsidRDefault="007F78D5">
            <w:pPr>
              <w:keepNext/>
              <w:keepLines/>
              <w:spacing w:before="40" w:after="40"/>
            </w:pPr>
          </w:p>
        </w:tc>
        <w:tc>
          <w:tcPr>
            <w:tcW w:w="2000" w:type="dxa"/>
            <w:tcBorders>
              <w:bottom w:val="single" w:sz="8" w:space="0" w:color="auto"/>
            </w:tcBorders>
            <w:tcMar>
              <w:left w:w="60" w:type="dxa"/>
              <w:right w:w="60" w:type="dxa"/>
            </w:tcMar>
            <w:vAlign w:val="bottom"/>
          </w:tcPr>
          <w:p w14:paraId="55D7395C" w14:textId="77777777" w:rsidR="007F78D5" w:rsidRDefault="0097540C">
            <w:pPr>
              <w:keepNext/>
              <w:keepLines/>
              <w:spacing w:before="40"/>
              <w:jc w:val="center"/>
              <w:rPr>
                <w:rFonts w:ascii="Tahoma" w:eastAsia="Tahoma" w:hAnsi="Tahoma" w:cs="Tahoma"/>
                <w:sz w:val="22"/>
              </w:rPr>
            </w:pPr>
            <w:r>
              <w:rPr>
                <w:rFonts w:ascii="Tahoma" w:eastAsia="Tahoma" w:hAnsi="Tahoma" w:cs="Tahoma"/>
                <w:sz w:val="22"/>
              </w:rPr>
              <w:t>June 30,</w:t>
            </w:r>
          </w:p>
          <w:p w14:paraId="3CC06F1D" w14:textId="77777777" w:rsidR="007F78D5" w:rsidRDefault="0097540C">
            <w:pPr>
              <w:keepNext/>
              <w:keepLines/>
              <w:spacing w:after="40"/>
              <w:jc w:val="center"/>
              <w:rPr>
                <w:rFonts w:ascii="Tahoma" w:eastAsia="Tahoma" w:hAnsi="Tahoma" w:cs="Tahoma"/>
                <w:sz w:val="22"/>
              </w:rPr>
            </w:pPr>
            <w:r>
              <w:rPr>
                <w:rFonts w:ascii="Tahoma" w:eastAsia="Tahoma" w:hAnsi="Tahoma" w:cs="Tahoma"/>
                <w:sz w:val="22"/>
              </w:rPr>
              <w:t>2015</w:t>
            </w:r>
          </w:p>
        </w:tc>
        <w:tc>
          <w:tcPr>
            <w:tcW w:w="240" w:type="dxa"/>
            <w:tcMar>
              <w:left w:w="60" w:type="dxa"/>
              <w:right w:w="0" w:type="dxa"/>
            </w:tcMar>
            <w:vAlign w:val="bottom"/>
          </w:tcPr>
          <w:p w14:paraId="3D738C91" w14:textId="77777777" w:rsidR="007F78D5" w:rsidRDefault="007F78D5">
            <w:pPr>
              <w:keepNext/>
              <w:keepLines/>
              <w:spacing w:before="40" w:after="40"/>
            </w:pPr>
          </w:p>
        </w:tc>
        <w:tc>
          <w:tcPr>
            <w:tcW w:w="2000" w:type="dxa"/>
            <w:tcBorders>
              <w:bottom w:val="single" w:sz="8" w:space="0" w:color="auto"/>
            </w:tcBorders>
            <w:tcMar>
              <w:left w:w="60" w:type="dxa"/>
              <w:right w:w="60" w:type="dxa"/>
            </w:tcMar>
            <w:vAlign w:val="bottom"/>
          </w:tcPr>
          <w:p w14:paraId="14E47922" w14:textId="77777777" w:rsidR="007F78D5" w:rsidRDefault="0097540C">
            <w:pPr>
              <w:keepNext/>
              <w:keepLines/>
              <w:spacing w:before="40" w:after="40"/>
              <w:jc w:val="center"/>
              <w:rPr>
                <w:rFonts w:ascii="Tahoma" w:eastAsia="Tahoma" w:hAnsi="Tahoma" w:cs="Tahoma"/>
                <w:sz w:val="22"/>
              </w:rPr>
            </w:pPr>
            <w:r>
              <w:rPr>
                <w:rFonts w:ascii="Tahoma" w:eastAsia="Tahoma" w:hAnsi="Tahoma" w:cs="Tahoma"/>
                <w:color w:val="000000"/>
                <w:sz w:val="22"/>
              </w:rPr>
              <w:t>December 31, 2014</w:t>
            </w:r>
          </w:p>
        </w:tc>
      </w:tr>
      <w:tr w:rsidR="007F78D5" w14:paraId="30BD22AB" w14:textId="77777777">
        <w:trPr>
          <w:trHeight w:hRule="exact" w:val="320"/>
          <w:jc w:val="center"/>
        </w:trPr>
        <w:tc>
          <w:tcPr>
            <w:tcW w:w="6320" w:type="dxa"/>
            <w:shd w:val="clear" w:color="auto" w:fill="CCEEFF"/>
            <w:tcMar>
              <w:left w:w="60" w:type="dxa"/>
              <w:right w:w="40" w:type="dxa"/>
            </w:tcMar>
            <w:vAlign w:val="bottom"/>
          </w:tcPr>
          <w:p w14:paraId="745FE9F0"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Cash and cash equivalents</w:t>
            </w:r>
          </w:p>
        </w:tc>
        <w:tc>
          <w:tcPr>
            <w:tcW w:w="240" w:type="dxa"/>
            <w:shd w:val="clear" w:color="auto" w:fill="CCEEFF"/>
            <w:tcMar>
              <w:left w:w="0" w:type="dxa"/>
              <w:right w:w="60" w:type="dxa"/>
            </w:tcMar>
            <w:vAlign w:val="bottom"/>
          </w:tcPr>
          <w:p w14:paraId="1E9E9580"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top w:val="single" w:sz="8" w:space="0" w:color="auto"/>
            </w:tcBorders>
            <w:shd w:val="clear" w:color="auto" w:fill="CCEEFF"/>
            <w:tcMar>
              <w:left w:w="0" w:type="dxa"/>
              <w:right w:w="60" w:type="dxa"/>
            </w:tcMar>
            <w:vAlign w:val="bottom"/>
          </w:tcPr>
          <w:p w14:paraId="44DA05F9"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106,012</w:t>
            </w:r>
          </w:p>
        </w:tc>
        <w:tc>
          <w:tcPr>
            <w:tcW w:w="240" w:type="dxa"/>
            <w:shd w:val="clear" w:color="auto" w:fill="CCEEFF"/>
            <w:tcMar>
              <w:left w:w="0" w:type="dxa"/>
              <w:right w:w="60" w:type="dxa"/>
            </w:tcMar>
            <w:vAlign w:val="bottom"/>
          </w:tcPr>
          <w:p w14:paraId="7B23FD51"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shd w:val="clear" w:color="auto" w:fill="CCEEFF"/>
            <w:tcMar>
              <w:left w:w="0" w:type="dxa"/>
              <w:right w:w="60" w:type="dxa"/>
            </w:tcMar>
            <w:vAlign w:val="bottom"/>
          </w:tcPr>
          <w:p w14:paraId="2EBA00CA"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33,854</w:t>
            </w:r>
          </w:p>
        </w:tc>
      </w:tr>
      <w:tr w:rsidR="007F78D5" w14:paraId="368DBFB3" w14:textId="77777777">
        <w:trPr>
          <w:trHeight w:hRule="exact" w:val="320"/>
          <w:jc w:val="center"/>
        </w:trPr>
        <w:tc>
          <w:tcPr>
            <w:tcW w:w="6320" w:type="dxa"/>
            <w:tcMar>
              <w:left w:w="60" w:type="dxa"/>
              <w:right w:w="40" w:type="dxa"/>
            </w:tcMar>
            <w:vAlign w:val="bottom"/>
          </w:tcPr>
          <w:p w14:paraId="62E7D96E"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Prepaid expenses and other current assets</w:t>
            </w:r>
          </w:p>
        </w:tc>
        <w:tc>
          <w:tcPr>
            <w:tcW w:w="240" w:type="dxa"/>
            <w:tcMar>
              <w:left w:w="0" w:type="dxa"/>
              <w:right w:w="60" w:type="dxa"/>
            </w:tcMar>
            <w:vAlign w:val="bottom"/>
          </w:tcPr>
          <w:p w14:paraId="738D2C98" w14:textId="77777777" w:rsidR="007F78D5" w:rsidRDefault="007F78D5">
            <w:pPr>
              <w:keepNext/>
              <w:keepLines/>
              <w:spacing w:before="40" w:after="40"/>
            </w:pPr>
          </w:p>
        </w:tc>
        <w:tc>
          <w:tcPr>
            <w:tcW w:w="2000" w:type="dxa"/>
            <w:tcMar>
              <w:left w:w="0" w:type="dxa"/>
              <w:right w:w="60" w:type="dxa"/>
            </w:tcMar>
            <w:vAlign w:val="bottom"/>
          </w:tcPr>
          <w:p w14:paraId="09F4C90B"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810</w:t>
            </w:r>
          </w:p>
        </w:tc>
        <w:tc>
          <w:tcPr>
            <w:tcW w:w="240" w:type="dxa"/>
            <w:tcMar>
              <w:left w:w="0" w:type="dxa"/>
              <w:right w:w="60" w:type="dxa"/>
            </w:tcMar>
            <w:vAlign w:val="bottom"/>
          </w:tcPr>
          <w:p w14:paraId="0ED16E5C" w14:textId="77777777" w:rsidR="007F78D5" w:rsidRDefault="007F78D5">
            <w:pPr>
              <w:keepNext/>
              <w:keepLines/>
              <w:spacing w:before="40" w:after="40"/>
            </w:pPr>
          </w:p>
        </w:tc>
        <w:tc>
          <w:tcPr>
            <w:tcW w:w="2000" w:type="dxa"/>
            <w:tcMar>
              <w:left w:w="0" w:type="dxa"/>
              <w:right w:w="60" w:type="dxa"/>
            </w:tcMar>
            <w:vAlign w:val="bottom"/>
          </w:tcPr>
          <w:p w14:paraId="13837E37"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370</w:t>
            </w:r>
          </w:p>
        </w:tc>
      </w:tr>
      <w:tr w:rsidR="007F78D5" w14:paraId="16B8E3DE" w14:textId="77777777">
        <w:trPr>
          <w:trHeight w:hRule="exact" w:val="320"/>
          <w:jc w:val="center"/>
        </w:trPr>
        <w:tc>
          <w:tcPr>
            <w:tcW w:w="6320" w:type="dxa"/>
            <w:shd w:val="clear" w:color="auto" w:fill="CCEEFF"/>
            <w:tcMar>
              <w:left w:w="60" w:type="dxa"/>
              <w:right w:w="40" w:type="dxa"/>
            </w:tcMar>
            <w:vAlign w:val="bottom"/>
          </w:tcPr>
          <w:p w14:paraId="770006F2"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Property and equipment, net</w:t>
            </w:r>
          </w:p>
        </w:tc>
        <w:tc>
          <w:tcPr>
            <w:tcW w:w="240" w:type="dxa"/>
            <w:shd w:val="clear" w:color="auto" w:fill="CCEEFF"/>
            <w:tcMar>
              <w:left w:w="0" w:type="dxa"/>
              <w:right w:w="60" w:type="dxa"/>
            </w:tcMar>
            <w:vAlign w:val="bottom"/>
          </w:tcPr>
          <w:p w14:paraId="571778B5" w14:textId="77777777" w:rsidR="007F78D5" w:rsidRDefault="007F78D5">
            <w:pPr>
              <w:keepNext/>
              <w:keepLines/>
              <w:spacing w:before="40" w:after="40"/>
            </w:pPr>
          </w:p>
        </w:tc>
        <w:tc>
          <w:tcPr>
            <w:tcW w:w="2000" w:type="dxa"/>
            <w:shd w:val="clear" w:color="auto" w:fill="CCEEFF"/>
            <w:tcMar>
              <w:left w:w="0" w:type="dxa"/>
              <w:right w:w="60" w:type="dxa"/>
            </w:tcMar>
            <w:vAlign w:val="bottom"/>
          </w:tcPr>
          <w:p w14:paraId="3A7EAF44"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119</w:t>
            </w:r>
          </w:p>
        </w:tc>
        <w:tc>
          <w:tcPr>
            <w:tcW w:w="240" w:type="dxa"/>
            <w:shd w:val="clear" w:color="auto" w:fill="CCEEFF"/>
            <w:tcMar>
              <w:left w:w="0" w:type="dxa"/>
              <w:right w:w="60" w:type="dxa"/>
            </w:tcMar>
            <w:vAlign w:val="bottom"/>
          </w:tcPr>
          <w:p w14:paraId="291692AE" w14:textId="77777777" w:rsidR="007F78D5" w:rsidRDefault="007F78D5">
            <w:pPr>
              <w:keepNext/>
              <w:keepLines/>
              <w:spacing w:before="40" w:after="40"/>
            </w:pPr>
          </w:p>
        </w:tc>
        <w:tc>
          <w:tcPr>
            <w:tcW w:w="2000" w:type="dxa"/>
            <w:shd w:val="clear" w:color="auto" w:fill="CCEEFF"/>
            <w:tcMar>
              <w:left w:w="0" w:type="dxa"/>
              <w:right w:w="60" w:type="dxa"/>
            </w:tcMar>
            <w:vAlign w:val="bottom"/>
          </w:tcPr>
          <w:p w14:paraId="6205E1EB"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85</w:t>
            </w:r>
          </w:p>
        </w:tc>
      </w:tr>
      <w:tr w:rsidR="007F78D5" w14:paraId="2B58709B" w14:textId="77777777">
        <w:trPr>
          <w:trHeight w:hRule="exact" w:val="320"/>
          <w:jc w:val="center"/>
        </w:trPr>
        <w:tc>
          <w:tcPr>
            <w:tcW w:w="6320" w:type="dxa"/>
            <w:tcMar>
              <w:left w:w="60" w:type="dxa"/>
              <w:right w:w="40" w:type="dxa"/>
            </w:tcMar>
            <w:vAlign w:val="bottom"/>
          </w:tcPr>
          <w:p w14:paraId="4E0A79EA"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Other assets</w:t>
            </w:r>
          </w:p>
        </w:tc>
        <w:tc>
          <w:tcPr>
            <w:tcW w:w="240" w:type="dxa"/>
            <w:tcMar>
              <w:left w:w="0" w:type="dxa"/>
              <w:right w:w="60" w:type="dxa"/>
            </w:tcMar>
            <w:vAlign w:val="bottom"/>
          </w:tcPr>
          <w:p w14:paraId="02F3DDAE" w14:textId="77777777" w:rsidR="007F78D5" w:rsidRDefault="007F78D5">
            <w:pPr>
              <w:keepNext/>
              <w:keepLines/>
              <w:spacing w:before="40" w:after="40"/>
            </w:pPr>
          </w:p>
        </w:tc>
        <w:tc>
          <w:tcPr>
            <w:tcW w:w="2000" w:type="dxa"/>
            <w:tcBorders>
              <w:bottom w:val="single" w:sz="8" w:space="0" w:color="auto"/>
            </w:tcBorders>
            <w:tcMar>
              <w:left w:w="0" w:type="dxa"/>
              <w:right w:w="60" w:type="dxa"/>
            </w:tcMar>
            <w:vAlign w:val="bottom"/>
          </w:tcPr>
          <w:p w14:paraId="608BFD41"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262</w:t>
            </w:r>
          </w:p>
        </w:tc>
        <w:tc>
          <w:tcPr>
            <w:tcW w:w="240" w:type="dxa"/>
            <w:tcMar>
              <w:left w:w="0" w:type="dxa"/>
              <w:right w:w="60" w:type="dxa"/>
            </w:tcMar>
            <w:vAlign w:val="bottom"/>
          </w:tcPr>
          <w:p w14:paraId="757F846C" w14:textId="77777777" w:rsidR="007F78D5" w:rsidRDefault="007F78D5">
            <w:pPr>
              <w:keepNext/>
              <w:keepLines/>
              <w:spacing w:before="40" w:after="40"/>
            </w:pPr>
          </w:p>
        </w:tc>
        <w:tc>
          <w:tcPr>
            <w:tcW w:w="2000" w:type="dxa"/>
            <w:tcBorders>
              <w:bottom w:val="single" w:sz="8" w:space="0" w:color="auto"/>
            </w:tcBorders>
            <w:tcMar>
              <w:left w:w="0" w:type="dxa"/>
              <w:right w:w="60" w:type="dxa"/>
            </w:tcMar>
            <w:vAlign w:val="bottom"/>
          </w:tcPr>
          <w:p w14:paraId="380823F6"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1,302</w:t>
            </w:r>
          </w:p>
        </w:tc>
      </w:tr>
      <w:tr w:rsidR="007F78D5" w14:paraId="246E3EF4" w14:textId="77777777">
        <w:trPr>
          <w:trHeight w:hRule="exact" w:val="320"/>
          <w:jc w:val="center"/>
        </w:trPr>
        <w:tc>
          <w:tcPr>
            <w:tcW w:w="6320" w:type="dxa"/>
            <w:shd w:val="clear" w:color="auto" w:fill="CCEEFF"/>
            <w:tcMar>
              <w:left w:w="60" w:type="dxa"/>
              <w:right w:w="40" w:type="dxa"/>
            </w:tcMar>
            <w:vAlign w:val="bottom"/>
          </w:tcPr>
          <w:p w14:paraId="7AE4B4C9"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Total assets</w:t>
            </w:r>
          </w:p>
        </w:tc>
        <w:tc>
          <w:tcPr>
            <w:tcW w:w="240" w:type="dxa"/>
            <w:shd w:val="clear" w:color="auto" w:fill="CCEEFF"/>
            <w:tcMar>
              <w:left w:w="0" w:type="dxa"/>
              <w:right w:w="60" w:type="dxa"/>
            </w:tcMar>
            <w:vAlign w:val="bottom"/>
          </w:tcPr>
          <w:p w14:paraId="32F871FD"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bottom w:val="double" w:sz="4" w:space="0" w:color="auto"/>
            </w:tcBorders>
            <w:shd w:val="clear" w:color="auto" w:fill="CCEEFF"/>
            <w:tcMar>
              <w:left w:w="0" w:type="dxa"/>
              <w:right w:w="60" w:type="dxa"/>
            </w:tcMar>
            <w:vAlign w:val="bottom"/>
          </w:tcPr>
          <w:p w14:paraId="0039D134"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107,203</w:t>
            </w:r>
          </w:p>
        </w:tc>
        <w:tc>
          <w:tcPr>
            <w:tcW w:w="240" w:type="dxa"/>
            <w:shd w:val="clear" w:color="auto" w:fill="CCEEFF"/>
            <w:tcMar>
              <w:left w:w="0" w:type="dxa"/>
              <w:right w:w="60" w:type="dxa"/>
            </w:tcMar>
            <w:vAlign w:val="bottom"/>
          </w:tcPr>
          <w:p w14:paraId="451B66A5"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bottom w:val="double" w:sz="4" w:space="0" w:color="auto"/>
            </w:tcBorders>
            <w:shd w:val="clear" w:color="auto" w:fill="CCEEFF"/>
            <w:tcMar>
              <w:left w:w="0" w:type="dxa"/>
              <w:right w:w="60" w:type="dxa"/>
            </w:tcMar>
            <w:vAlign w:val="bottom"/>
          </w:tcPr>
          <w:p w14:paraId="473DAEF8"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35,611</w:t>
            </w:r>
          </w:p>
        </w:tc>
      </w:tr>
      <w:tr w:rsidR="007F78D5" w14:paraId="0D47EAAE" w14:textId="77777777">
        <w:trPr>
          <w:trHeight w:hRule="exact" w:val="300"/>
          <w:jc w:val="center"/>
        </w:trPr>
        <w:tc>
          <w:tcPr>
            <w:tcW w:w="6320" w:type="dxa"/>
            <w:tcMar>
              <w:left w:w="60" w:type="dxa"/>
              <w:right w:w="0" w:type="dxa"/>
            </w:tcMar>
            <w:vAlign w:val="bottom"/>
          </w:tcPr>
          <w:p w14:paraId="3471EED5" w14:textId="77777777" w:rsidR="007F78D5" w:rsidRDefault="007F78D5">
            <w:pPr>
              <w:keepNext/>
              <w:keepLines/>
              <w:spacing w:before="40" w:after="40"/>
            </w:pPr>
          </w:p>
        </w:tc>
        <w:tc>
          <w:tcPr>
            <w:tcW w:w="240" w:type="dxa"/>
            <w:tcMar>
              <w:left w:w="0" w:type="dxa"/>
              <w:right w:w="60" w:type="dxa"/>
            </w:tcMar>
            <w:vAlign w:val="bottom"/>
          </w:tcPr>
          <w:p w14:paraId="11E43334" w14:textId="77777777" w:rsidR="007F78D5" w:rsidRDefault="007F78D5">
            <w:pPr>
              <w:keepNext/>
              <w:keepLines/>
              <w:spacing w:before="40" w:after="40"/>
            </w:pPr>
          </w:p>
        </w:tc>
        <w:tc>
          <w:tcPr>
            <w:tcW w:w="2000" w:type="dxa"/>
            <w:tcMar>
              <w:left w:w="60" w:type="dxa"/>
              <w:right w:w="0" w:type="dxa"/>
            </w:tcMar>
            <w:vAlign w:val="bottom"/>
          </w:tcPr>
          <w:p w14:paraId="7A8D12DA" w14:textId="77777777" w:rsidR="007F78D5" w:rsidRDefault="007F78D5">
            <w:pPr>
              <w:keepNext/>
              <w:keepLines/>
              <w:spacing w:before="40" w:after="40"/>
            </w:pPr>
          </w:p>
        </w:tc>
        <w:tc>
          <w:tcPr>
            <w:tcW w:w="240" w:type="dxa"/>
            <w:tcMar>
              <w:left w:w="0" w:type="dxa"/>
              <w:right w:w="60" w:type="dxa"/>
            </w:tcMar>
            <w:vAlign w:val="bottom"/>
          </w:tcPr>
          <w:p w14:paraId="1119218B" w14:textId="77777777" w:rsidR="007F78D5" w:rsidRDefault="007F78D5">
            <w:pPr>
              <w:keepNext/>
              <w:keepLines/>
              <w:spacing w:before="40" w:after="40"/>
            </w:pPr>
          </w:p>
        </w:tc>
        <w:tc>
          <w:tcPr>
            <w:tcW w:w="2000" w:type="dxa"/>
            <w:tcMar>
              <w:left w:w="60" w:type="dxa"/>
              <w:right w:w="0" w:type="dxa"/>
            </w:tcMar>
            <w:vAlign w:val="bottom"/>
          </w:tcPr>
          <w:p w14:paraId="0C289E27" w14:textId="77777777" w:rsidR="007F78D5" w:rsidRDefault="007F78D5">
            <w:pPr>
              <w:keepNext/>
              <w:keepLines/>
              <w:spacing w:before="40" w:after="40"/>
            </w:pPr>
          </w:p>
        </w:tc>
      </w:tr>
      <w:tr w:rsidR="007F78D5" w14:paraId="3C5EEE7E" w14:textId="77777777">
        <w:trPr>
          <w:trHeight w:hRule="exact" w:val="320"/>
          <w:jc w:val="center"/>
        </w:trPr>
        <w:tc>
          <w:tcPr>
            <w:tcW w:w="6320" w:type="dxa"/>
            <w:shd w:val="clear" w:color="auto" w:fill="CCEEFF"/>
            <w:tcMar>
              <w:left w:w="60" w:type="dxa"/>
              <w:right w:w="40" w:type="dxa"/>
            </w:tcMar>
            <w:vAlign w:val="bottom"/>
          </w:tcPr>
          <w:p w14:paraId="1B02C4A5"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Accounts payable and accrued expenses</w:t>
            </w:r>
          </w:p>
        </w:tc>
        <w:tc>
          <w:tcPr>
            <w:tcW w:w="240" w:type="dxa"/>
            <w:shd w:val="clear" w:color="auto" w:fill="CCEEFF"/>
            <w:tcMar>
              <w:left w:w="0" w:type="dxa"/>
              <w:right w:w="60" w:type="dxa"/>
            </w:tcMar>
            <w:vAlign w:val="bottom"/>
          </w:tcPr>
          <w:p w14:paraId="543EA098"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shd w:val="clear" w:color="auto" w:fill="CCEEFF"/>
            <w:tcMar>
              <w:left w:w="0" w:type="dxa"/>
              <w:right w:w="60" w:type="dxa"/>
            </w:tcMar>
            <w:vAlign w:val="bottom"/>
          </w:tcPr>
          <w:p w14:paraId="01A3B8F8"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2,042</w:t>
            </w:r>
          </w:p>
        </w:tc>
        <w:tc>
          <w:tcPr>
            <w:tcW w:w="240" w:type="dxa"/>
            <w:shd w:val="clear" w:color="auto" w:fill="CCEEFF"/>
            <w:tcMar>
              <w:left w:w="0" w:type="dxa"/>
              <w:right w:w="60" w:type="dxa"/>
            </w:tcMar>
            <w:vAlign w:val="bottom"/>
          </w:tcPr>
          <w:p w14:paraId="00FBBC18"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shd w:val="clear" w:color="auto" w:fill="CCEEFF"/>
            <w:tcMar>
              <w:left w:w="0" w:type="dxa"/>
              <w:right w:w="60" w:type="dxa"/>
            </w:tcMar>
            <w:vAlign w:val="bottom"/>
          </w:tcPr>
          <w:p w14:paraId="546B8876"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995</w:t>
            </w:r>
          </w:p>
        </w:tc>
      </w:tr>
      <w:tr w:rsidR="007F78D5" w14:paraId="21615A8B" w14:textId="77777777">
        <w:trPr>
          <w:trHeight w:hRule="exact" w:val="320"/>
          <w:jc w:val="center"/>
        </w:trPr>
        <w:tc>
          <w:tcPr>
            <w:tcW w:w="6320" w:type="dxa"/>
            <w:tcMar>
              <w:left w:w="60" w:type="dxa"/>
              <w:right w:w="40" w:type="dxa"/>
            </w:tcMar>
            <w:vAlign w:val="bottom"/>
          </w:tcPr>
          <w:p w14:paraId="20F03E47"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Other liabilities</w:t>
            </w:r>
          </w:p>
        </w:tc>
        <w:tc>
          <w:tcPr>
            <w:tcW w:w="240" w:type="dxa"/>
            <w:tcMar>
              <w:left w:w="0" w:type="dxa"/>
              <w:right w:w="60" w:type="dxa"/>
            </w:tcMar>
            <w:vAlign w:val="bottom"/>
          </w:tcPr>
          <w:p w14:paraId="3B91EFDA" w14:textId="77777777" w:rsidR="007F78D5" w:rsidRDefault="007F78D5">
            <w:pPr>
              <w:keepNext/>
              <w:keepLines/>
              <w:spacing w:before="40" w:after="40"/>
            </w:pPr>
          </w:p>
        </w:tc>
        <w:tc>
          <w:tcPr>
            <w:tcW w:w="2000" w:type="dxa"/>
            <w:tcMar>
              <w:left w:w="0" w:type="dxa"/>
              <w:right w:w="60" w:type="dxa"/>
            </w:tcMar>
            <w:vAlign w:val="bottom"/>
          </w:tcPr>
          <w:p w14:paraId="68AB51AA"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515</w:t>
            </w:r>
          </w:p>
        </w:tc>
        <w:tc>
          <w:tcPr>
            <w:tcW w:w="240" w:type="dxa"/>
            <w:tcMar>
              <w:left w:w="0" w:type="dxa"/>
              <w:right w:w="60" w:type="dxa"/>
            </w:tcMar>
            <w:vAlign w:val="bottom"/>
          </w:tcPr>
          <w:p w14:paraId="0F68CDF0" w14:textId="77777777" w:rsidR="007F78D5" w:rsidRDefault="007F78D5">
            <w:pPr>
              <w:keepNext/>
              <w:keepLines/>
              <w:spacing w:before="40" w:after="40"/>
            </w:pPr>
          </w:p>
        </w:tc>
        <w:tc>
          <w:tcPr>
            <w:tcW w:w="2000" w:type="dxa"/>
            <w:tcMar>
              <w:left w:w="0" w:type="dxa"/>
              <w:right w:w="60" w:type="dxa"/>
            </w:tcMar>
            <w:vAlign w:val="bottom"/>
          </w:tcPr>
          <w:p w14:paraId="42B1283C"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123</w:t>
            </w:r>
          </w:p>
        </w:tc>
      </w:tr>
      <w:tr w:rsidR="007F78D5" w14:paraId="6E35C4A8" w14:textId="77777777">
        <w:trPr>
          <w:trHeight w:hRule="exact" w:val="320"/>
          <w:jc w:val="center"/>
        </w:trPr>
        <w:tc>
          <w:tcPr>
            <w:tcW w:w="6320" w:type="dxa"/>
            <w:shd w:val="clear" w:color="auto" w:fill="CCEEFF"/>
            <w:tcMar>
              <w:left w:w="60" w:type="dxa"/>
              <w:right w:w="40" w:type="dxa"/>
            </w:tcMar>
            <w:vAlign w:val="bottom"/>
          </w:tcPr>
          <w:p w14:paraId="2EDB4AAF"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Convertible preferred stock</w:t>
            </w:r>
          </w:p>
        </w:tc>
        <w:tc>
          <w:tcPr>
            <w:tcW w:w="240" w:type="dxa"/>
            <w:shd w:val="clear" w:color="auto" w:fill="CCEEFF"/>
            <w:tcMar>
              <w:left w:w="0" w:type="dxa"/>
              <w:right w:w="60" w:type="dxa"/>
            </w:tcMar>
            <w:vAlign w:val="bottom"/>
          </w:tcPr>
          <w:p w14:paraId="2DCCDA4A" w14:textId="77777777" w:rsidR="007F78D5" w:rsidRDefault="007F78D5">
            <w:pPr>
              <w:keepNext/>
              <w:keepLines/>
              <w:spacing w:before="40" w:after="40"/>
            </w:pPr>
          </w:p>
        </w:tc>
        <w:tc>
          <w:tcPr>
            <w:tcW w:w="2000" w:type="dxa"/>
            <w:shd w:val="clear" w:color="auto" w:fill="CCEEFF"/>
            <w:tcMar>
              <w:left w:w="0" w:type="dxa"/>
              <w:right w:w="60" w:type="dxa"/>
            </w:tcMar>
            <w:vAlign w:val="bottom"/>
          </w:tcPr>
          <w:p w14:paraId="26DF23FF"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40" w:type="dxa"/>
            <w:shd w:val="clear" w:color="auto" w:fill="CCEEFF"/>
            <w:tcMar>
              <w:left w:w="0" w:type="dxa"/>
              <w:right w:w="60" w:type="dxa"/>
            </w:tcMar>
            <w:vAlign w:val="bottom"/>
          </w:tcPr>
          <w:p w14:paraId="5974C2AE" w14:textId="77777777" w:rsidR="007F78D5" w:rsidRDefault="007F78D5">
            <w:pPr>
              <w:keepNext/>
              <w:keepLines/>
              <w:spacing w:before="40" w:after="40"/>
            </w:pPr>
          </w:p>
        </w:tc>
        <w:tc>
          <w:tcPr>
            <w:tcW w:w="2000" w:type="dxa"/>
            <w:shd w:val="clear" w:color="auto" w:fill="CCEEFF"/>
            <w:tcMar>
              <w:left w:w="0" w:type="dxa"/>
              <w:right w:w="60" w:type="dxa"/>
            </w:tcMar>
            <w:vAlign w:val="bottom"/>
          </w:tcPr>
          <w:p w14:paraId="6F5D6D44"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41,031</w:t>
            </w:r>
          </w:p>
        </w:tc>
      </w:tr>
      <w:tr w:rsidR="007F78D5" w14:paraId="1002CF5E" w14:textId="77777777">
        <w:trPr>
          <w:trHeight w:hRule="exact" w:val="320"/>
          <w:jc w:val="center"/>
        </w:trPr>
        <w:tc>
          <w:tcPr>
            <w:tcW w:w="6320" w:type="dxa"/>
            <w:tcMar>
              <w:left w:w="60" w:type="dxa"/>
              <w:right w:w="40" w:type="dxa"/>
            </w:tcMar>
            <w:vAlign w:val="bottom"/>
          </w:tcPr>
          <w:p w14:paraId="1FC66415"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Stockholders’ equity (deficit)</w:t>
            </w:r>
          </w:p>
        </w:tc>
        <w:tc>
          <w:tcPr>
            <w:tcW w:w="240" w:type="dxa"/>
            <w:tcMar>
              <w:left w:w="0" w:type="dxa"/>
              <w:right w:w="60" w:type="dxa"/>
            </w:tcMar>
            <w:vAlign w:val="bottom"/>
          </w:tcPr>
          <w:p w14:paraId="18FA47A2" w14:textId="77777777" w:rsidR="007F78D5" w:rsidRDefault="007F78D5">
            <w:pPr>
              <w:keepNext/>
              <w:keepLines/>
              <w:spacing w:before="40" w:after="40"/>
            </w:pPr>
          </w:p>
        </w:tc>
        <w:tc>
          <w:tcPr>
            <w:tcW w:w="2000" w:type="dxa"/>
            <w:tcBorders>
              <w:bottom w:val="single" w:sz="8" w:space="0" w:color="auto"/>
            </w:tcBorders>
            <w:tcMar>
              <w:left w:w="0" w:type="dxa"/>
              <w:right w:w="60" w:type="dxa"/>
            </w:tcMar>
            <w:vAlign w:val="bottom"/>
          </w:tcPr>
          <w:p w14:paraId="549AC8B3"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104,646</w:t>
            </w:r>
          </w:p>
        </w:tc>
        <w:tc>
          <w:tcPr>
            <w:tcW w:w="240" w:type="dxa"/>
            <w:tcMar>
              <w:left w:w="0" w:type="dxa"/>
              <w:right w:w="60" w:type="dxa"/>
            </w:tcMar>
            <w:vAlign w:val="bottom"/>
          </w:tcPr>
          <w:p w14:paraId="5112535E" w14:textId="77777777" w:rsidR="007F78D5" w:rsidRDefault="007F78D5">
            <w:pPr>
              <w:keepNext/>
              <w:keepLines/>
              <w:spacing w:before="40" w:after="40"/>
            </w:pPr>
          </w:p>
        </w:tc>
        <w:tc>
          <w:tcPr>
            <w:tcW w:w="2000" w:type="dxa"/>
            <w:tcMar>
              <w:left w:w="0" w:type="dxa"/>
              <w:right w:w="60" w:type="dxa"/>
            </w:tcMar>
            <w:vAlign w:val="bottom"/>
          </w:tcPr>
          <w:p w14:paraId="47151CE8"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(6,538)</w:t>
            </w:r>
          </w:p>
        </w:tc>
      </w:tr>
      <w:tr w:rsidR="007F78D5" w14:paraId="5E198015" w14:textId="77777777">
        <w:trPr>
          <w:trHeight w:hRule="exact" w:val="320"/>
          <w:jc w:val="center"/>
        </w:trPr>
        <w:tc>
          <w:tcPr>
            <w:tcW w:w="6320" w:type="dxa"/>
            <w:shd w:val="clear" w:color="auto" w:fill="CCEEFF"/>
            <w:tcMar>
              <w:left w:w="60" w:type="dxa"/>
              <w:right w:w="40" w:type="dxa"/>
            </w:tcMar>
            <w:vAlign w:val="bottom"/>
          </w:tcPr>
          <w:p w14:paraId="56DA0FE1" w14:textId="77777777" w:rsidR="007F78D5" w:rsidRDefault="0097540C">
            <w:pPr>
              <w:keepLines/>
              <w:spacing w:before="40" w:after="40"/>
              <w:rPr>
                <w:rFonts w:ascii="Tahoma" w:eastAsia="Tahoma" w:hAnsi="Tahoma" w:cs="Tahoma"/>
                <w:sz w:val="22"/>
              </w:rPr>
            </w:pPr>
            <w:r>
              <w:rPr>
                <w:rFonts w:ascii="Tahoma" w:eastAsia="Tahoma" w:hAnsi="Tahoma" w:cs="Tahoma"/>
                <w:color w:val="000000"/>
                <w:sz w:val="22"/>
              </w:rPr>
              <w:t>Total liabilities and stockholders’ equity (deficit)</w:t>
            </w:r>
          </w:p>
        </w:tc>
        <w:tc>
          <w:tcPr>
            <w:tcW w:w="240" w:type="dxa"/>
            <w:shd w:val="clear" w:color="auto" w:fill="CCEEFF"/>
            <w:tcMar>
              <w:left w:w="0" w:type="dxa"/>
              <w:right w:w="60" w:type="dxa"/>
            </w:tcMar>
            <w:vAlign w:val="bottom"/>
          </w:tcPr>
          <w:p w14:paraId="06A01690" w14:textId="77777777" w:rsidR="007F78D5" w:rsidRDefault="0097540C">
            <w:pPr>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top w:val="single" w:sz="8" w:space="0" w:color="auto"/>
              <w:bottom w:val="double" w:sz="4" w:space="0" w:color="auto"/>
            </w:tcBorders>
            <w:shd w:val="clear" w:color="auto" w:fill="CCEEFF"/>
            <w:tcMar>
              <w:left w:w="0" w:type="dxa"/>
              <w:right w:w="60" w:type="dxa"/>
            </w:tcMar>
            <w:vAlign w:val="bottom"/>
          </w:tcPr>
          <w:p w14:paraId="468E5466" w14:textId="77777777" w:rsidR="007F78D5" w:rsidRDefault="0097540C">
            <w:pPr>
              <w:keepLines/>
              <w:spacing w:before="40" w:after="40"/>
              <w:ind w:firstLine="40"/>
              <w:jc w:val="right"/>
              <w:rPr>
                <w:rFonts w:ascii="Tahoma" w:eastAsia="Tahoma" w:hAnsi="Tahoma" w:cs="Tahoma"/>
                <w:sz w:val="22"/>
              </w:rPr>
            </w:pPr>
            <w:r>
              <w:rPr>
                <w:rFonts w:ascii="Tahoma" w:eastAsia="Tahoma" w:hAnsi="Tahoma" w:cs="Tahoma"/>
                <w:color w:val="000000"/>
                <w:sz w:val="22"/>
              </w:rPr>
              <w:t>107,203</w:t>
            </w:r>
          </w:p>
        </w:tc>
        <w:tc>
          <w:tcPr>
            <w:tcW w:w="240" w:type="dxa"/>
            <w:shd w:val="clear" w:color="auto" w:fill="CCEEFF"/>
            <w:tcMar>
              <w:left w:w="0" w:type="dxa"/>
              <w:right w:w="60" w:type="dxa"/>
            </w:tcMar>
            <w:vAlign w:val="bottom"/>
          </w:tcPr>
          <w:p w14:paraId="5D48AED6" w14:textId="77777777" w:rsidR="007F78D5" w:rsidRDefault="0097540C">
            <w:pPr>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top w:val="single" w:sz="8" w:space="0" w:color="auto"/>
              <w:bottom w:val="double" w:sz="4" w:space="0" w:color="auto"/>
            </w:tcBorders>
            <w:shd w:val="clear" w:color="auto" w:fill="CCEEFF"/>
            <w:tcMar>
              <w:left w:w="0" w:type="dxa"/>
              <w:right w:w="60" w:type="dxa"/>
            </w:tcMar>
            <w:vAlign w:val="bottom"/>
          </w:tcPr>
          <w:p w14:paraId="48682328" w14:textId="77777777" w:rsidR="007F78D5" w:rsidRDefault="0097540C">
            <w:pPr>
              <w:keepLines/>
              <w:spacing w:before="40" w:after="40"/>
              <w:ind w:firstLine="40"/>
              <w:jc w:val="right"/>
              <w:rPr>
                <w:rFonts w:ascii="Tahoma" w:eastAsia="Tahoma" w:hAnsi="Tahoma" w:cs="Tahoma"/>
                <w:sz w:val="22"/>
              </w:rPr>
            </w:pPr>
            <w:r>
              <w:rPr>
                <w:rFonts w:ascii="Tahoma" w:eastAsia="Tahoma" w:hAnsi="Tahoma" w:cs="Tahoma"/>
                <w:color w:val="000000"/>
                <w:sz w:val="22"/>
              </w:rPr>
              <w:t>35,611</w:t>
            </w:r>
          </w:p>
        </w:tc>
      </w:tr>
    </w:tbl>
    <w:p w14:paraId="13539B92" w14:textId="77777777" w:rsidR="007F78D5" w:rsidRDefault="007F78D5">
      <w:pPr>
        <w:spacing w:before="100" w:after="140"/>
        <w:jc w:val="center"/>
      </w:pPr>
    </w:p>
    <w:tbl>
      <w:tblPr>
        <w:tblW w:w="10800" w:type="dxa"/>
        <w:jc w:val="center"/>
        <w:tblLayout w:type="fixed"/>
        <w:tblCellMar>
          <w:left w:w="10" w:type="dxa"/>
          <w:right w:w="10" w:type="dxa"/>
        </w:tblCellMar>
        <w:tblLook w:val="04A0" w:firstRow="1" w:lastRow="0" w:firstColumn="1" w:lastColumn="0" w:noHBand="0" w:noVBand="1"/>
      </w:tblPr>
      <w:tblGrid>
        <w:gridCol w:w="3760"/>
        <w:gridCol w:w="260"/>
        <w:gridCol w:w="1500"/>
        <w:gridCol w:w="260"/>
        <w:gridCol w:w="1500"/>
        <w:gridCol w:w="260"/>
        <w:gridCol w:w="1500"/>
        <w:gridCol w:w="260"/>
        <w:gridCol w:w="1500"/>
      </w:tblGrid>
      <w:tr w:rsidR="008A213B" w14:paraId="232C5718" w14:textId="77777777" w:rsidTr="008A213B">
        <w:trPr>
          <w:trHeight w:hRule="exact" w:val="320"/>
          <w:jc w:val="center"/>
        </w:trPr>
        <w:tc>
          <w:tcPr>
            <w:tcW w:w="10800" w:type="dxa"/>
            <w:gridSpan w:val="9"/>
            <w:tcMar>
              <w:left w:w="60" w:type="dxa"/>
              <w:right w:w="40" w:type="dxa"/>
            </w:tcMar>
            <w:vAlign w:val="bottom"/>
          </w:tcPr>
          <w:p w14:paraId="0983DFC6" w14:textId="77777777" w:rsidR="007F78D5" w:rsidRDefault="0097540C">
            <w:pPr>
              <w:keepNext/>
              <w:keepLines/>
              <w:spacing w:before="40" w:after="40"/>
              <w:rPr>
                <w:rFonts w:ascii="Tahoma" w:eastAsia="Tahoma" w:hAnsi="Tahoma" w:cs="Tahoma"/>
                <w:b/>
                <w:sz w:val="22"/>
              </w:rPr>
            </w:pPr>
            <w:r>
              <w:rPr>
                <w:rFonts w:ascii="Tahoma" w:eastAsia="Tahoma" w:hAnsi="Tahoma" w:cs="Tahoma"/>
                <w:b/>
                <w:color w:val="000000"/>
                <w:sz w:val="22"/>
              </w:rPr>
              <w:t>Unaudited Condensed Consolidated Statements of Operations</w:t>
            </w:r>
          </w:p>
        </w:tc>
      </w:tr>
      <w:tr w:rsidR="008A213B" w14:paraId="0025622D" w14:textId="77777777" w:rsidTr="008A213B">
        <w:trPr>
          <w:trHeight w:hRule="exact" w:val="320"/>
          <w:jc w:val="center"/>
        </w:trPr>
        <w:tc>
          <w:tcPr>
            <w:tcW w:w="5520" w:type="dxa"/>
            <w:gridSpan w:val="3"/>
            <w:tcMar>
              <w:left w:w="60" w:type="dxa"/>
              <w:right w:w="40" w:type="dxa"/>
            </w:tcMar>
            <w:vAlign w:val="bottom"/>
          </w:tcPr>
          <w:p w14:paraId="7715F4FA" w14:textId="77777777" w:rsidR="007F78D5" w:rsidRDefault="0097540C">
            <w:pPr>
              <w:keepNext/>
              <w:keepLines/>
              <w:spacing w:before="40" w:after="40"/>
              <w:rPr>
                <w:rFonts w:ascii="Tahoma" w:eastAsia="Tahoma" w:hAnsi="Tahoma" w:cs="Tahoma"/>
                <w:b/>
                <w:sz w:val="22"/>
              </w:rPr>
            </w:pPr>
            <w:r>
              <w:rPr>
                <w:rFonts w:ascii="Tahoma" w:eastAsia="Tahoma" w:hAnsi="Tahoma" w:cs="Tahoma"/>
                <w:b/>
                <w:color w:val="000000"/>
                <w:sz w:val="22"/>
              </w:rPr>
              <w:t>(in thousands, except per share amounts)</w:t>
            </w:r>
          </w:p>
        </w:tc>
        <w:tc>
          <w:tcPr>
            <w:tcW w:w="260" w:type="dxa"/>
            <w:tcMar>
              <w:left w:w="0" w:type="dxa"/>
              <w:right w:w="60" w:type="dxa"/>
            </w:tcMar>
            <w:vAlign w:val="bottom"/>
          </w:tcPr>
          <w:p w14:paraId="2064230B" w14:textId="77777777" w:rsidR="007F78D5" w:rsidRDefault="007F78D5">
            <w:pPr>
              <w:keepNext/>
              <w:keepLines/>
              <w:spacing w:before="40" w:after="40"/>
            </w:pPr>
          </w:p>
        </w:tc>
        <w:tc>
          <w:tcPr>
            <w:tcW w:w="1500" w:type="dxa"/>
            <w:tcMar>
              <w:left w:w="60" w:type="dxa"/>
              <w:right w:w="0" w:type="dxa"/>
            </w:tcMar>
            <w:vAlign w:val="bottom"/>
          </w:tcPr>
          <w:p w14:paraId="3CA1192A" w14:textId="77777777" w:rsidR="007F78D5" w:rsidRDefault="007F78D5">
            <w:pPr>
              <w:keepNext/>
              <w:keepLines/>
              <w:spacing w:before="40" w:after="40"/>
            </w:pPr>
          </w:p>
        </w:tc>
        <w:tc>
          <w:tcPr>
            <w:tcW w:w="260" w:type="dxa"/>
            <w:tcMar>
              <w:left w:w="0" w:type="dxa"/>
              <w:right w:w="60" w:type="dxa"/>
            </w:tcMar>
            <w:vAlign w:val="bottom"/>
          </w:tcPr>
          <w:p w14:paraId="0B4F34A1" w14:textId="77777777" w:rsidR="007F78D5" w:rsidRDefault="007F78D5">
            <w:pPr>
              <w:keepNext/>
              <w:keepLines/>
              <w:spacing w:before="40" w:after="40"/>
            </w:pPr>
          </w:p>
        </w:tc>
        <w:tc>
          <w:tcPr>
            <w:tcW w:w="1500" w:type="dxa"/>
            <w:tcMar>
              <w:left w:w="60" w:type="dxa"/>
              <w:right w:w="0" w:type="dxa"/>
            </w:tcMar>
            <w:vAlign w:val="bottom"/>
          </w:tcPr>
          <w:p w14:paraId="78A2CC31" w14:textId="77777777" w:rsidR="007F78D5" w:rsidRDefault="007F78D5">
            <w:pPr>
              <w:keepNext/>
              <w:keepLines/>
              <w:spacing w:before="40" w:after="40"/>
            </w:pPr>
          </w:p>
        </w:tc>
        <w:tc>
          <w:tcPr>
            <w:tcW w:w="260" w:type="dxa"/>
            <w:tcMar>
              <w:left w:w="0" w:type="dxa"/>
              <w:right w:w="60" w:type="dxa"/>
            </w:tcMar>
            <w:vAlign w:val="bottom"/>
          </w:tcPr>
          <w:p w14:paraId="18806D7D" w14:textId="77777777" w:rsidR="007F78D5" w:rsidRDefault="007F78D5">
            <w:pPr>
              <w:keepNext/>
              <w:keepLines/>
              <w:spacing w:before="40" w:after="40"/>
            </w:pPr>
          </w:p>
        </w:tc>
        <w:tc>
          <w:tcPr>
            <w:tcW w:w="1500" w:type="dxa"/>
            <w:tcMar>
              <w:left w:w="60" w:type="dxa"/>
              <w:right w:w="0" w:type="dxa"/>
            </w:tcMar>
            <w:vAlign w:val="bottom"/>
          </w:tcPr>
          <w:p w14:paraId="11F5074A" w14:textId="77777777" w:rsidR="007F78D5" w:rsidRDefault="007F78D5">
            <w:pPr>
              <w:keepNext/>
              <w:keepLines/>
              <w:spacing w:before="40" w:after="40"/>
            </w:pPr>
          </w:p>
        </w:tc>
      </w:tr>
      <w:tr w:rsidR="007F78D5" w14:paraId="66345E87" w14:textId="77777777">
        <w:trPr>
          <w:trHeight w:hRule="exact" w:val="1260"/>
          <w:jc w:val="center"/>
        </w:trPr>
        <w:tc>
          <w:tcPr>
            <w:tcW w:w="3760" w:type="dxa"/>
            <w:tcMar>
              <w:left w:w="60" w:type="dxa"/>
              <w:right w:w="0" w:type="dxa"/>
            </w:tcMar>
            <w:vAlign w:val="bottom"/>
          </w:tcPr>
          <w:p w14:paraId="353405FB" w14:textId="77777777" w:rsidR="007F78D5" w:rsidRDefault="007F78D5">
            <w:pPr>
              <w:keepNext/>
              <w:keepLines/>
              <w:spacing w:before="40" w:after="40"/>
            </w:pPr>
          </w:p>
        </w:tc>
        <w:tc>
          <w:tcPr>
            <w:tcW w:w="260" w:type="dxa"/>
            <w:tcMar>
              <w:left w:w="0" w:type="dxa"/>
              <w:right w:w="60" w:type="dxa"/>
            </w:tcMar>
            <w:vAlign w:val="bottom"/>
          </w:tcPr>
          <w:p w14:paraId="27D6396A" w14:textId="77777777" w:rsidR="007F78D5" w:rsidRDefault="007F78D5">
            <w:pPr>
              <w:keepNext/>
              <w:keepLines/>
              <w:spacing w:before="40" w:after="40"/>
            </w:pPr>
          </w:p>
        </w:tc>
        <w:tc>
          <w:tcPr>
            <w:tcW w:w="1500" w:type="dxa"/>
            <w:tcBorders>
              <w:bottom w:val="single" w:sz="8" w:space="0" w:color="auto"/>
            </w:tcBorders>
            <w:tcMar>
              <w:left w:w="60" w:type="dxa"/>
              <w:right w:w="60" w:type="dxa"/>
            </w:tcMar>
            <w:vAlign w:val="bottom"/>
          </w:tcPr>
          <w:p w14:paraId="60656774" w14:textId="77777777" w:rsidR="007F78D5" w:rsidRDefault="0097540C">
            <w:pPr>
              <w:keepNext/>
              <w:keepLines/>
              <w:spacing w:before="40"/>
              <w:jc w:val="center"/>
              <w:rPr>
                <w:rFonts w:ascii="Tahoma" w:eastAsia="Tahoma" w:hAnsi="Tahoma" w:cs="Tahoma"/>
                <w:sz w:val="22"/>
              </w:rPr>
            </w:pPr>
            <w:r>
              <w:rPr>
                <w:rFonts w:ascii="Tahoma" w:eastAsia="Tahoma" w:hAnsi="Tahoma" w:cs="Tahoma"/>
                <w:sz w:val="22"/>
              </w:rPr>
              <w:t>Three Months Ended</w:t>
            </w:r>
          </w:p>
          <w:p w14:paraId="2D3EC614" w14:textId="77777777" w:rsidR="007F78D5" w:rsidRDefault="0097540C">
            <w:pPr>
              <w:keepNext/>
              <w:keepLines/>
              <w:spacing w:after="40"/>
              <w:jc w:val="center"/>
              <w:rPr>
                <w:rFonts w:ascii="Tahoma" w:eastAsia="Tahoma" w:hAnsi="Tahoma" w:cs="Tahoma"/>
                <w:sz w:val="22"/>
              </w:rPr>
            </w:pPr>
            <w:r>
              <w:rPr>
                <w:rFonts w:ascii="Tahoma" w:eastAsia="Tahoma" w:hAnsi="Tahoma" w:cs="Tahoma"/>
                <w:sz w:val="22"/>
              </w:rPr>
              <w:t>June 30, 2015</w:t>
            </w:r>
          </w:p>
        </w:tc>
        <w:tc>
          <w:tcPr>
            <w:tcW w:w="260" w:type="dxa"/>
            <w:tcMar>
              <w:left w:w="0" w:type="dxa"/>
              <w:right w:w="60" w:type="dxa"/>
            </w:tcMar>
            <w:vAlign w:val="bottom"/>
          </w:tcPr>
          <w:p w14:paraId="5C41A72F" w14:textId="77777777" w:rsidR="007F78D5" w:rsidRDefault="007F78D5">
            <w:pPr>
              <w:keepNext/>
              <w:keepLines/>
              <w:spacing w:before="40" w:after="40"/>
            </w:pPr>
          </w:p>
        </w:tc>
        <w:tc>
          <w:tcPr>
            <w:tcW w:w="1500" w:type="dxa"/>
            <w:tcBorders>
              <w:bottom w:val="single" w:sz="8" w:space="0" w:color="auto"/>
            </w:tcBorders>
            <w:tcMar>
              <w:left w:w="60" w:type="dxa"/>
              <w:right w:w="60" w:type="dxa"/>
            </w:tcMar>
            <w:vAlign w:val="bottom"/>
          </w:tcPr>
          <w:p w14:paraId="5DB79F92" w14:textId="77777777" w:rsidR="007F78D5" w:rsidRDefault="0097540C">
            <w:pPr>
              <w:keepNext/>
              <w:keepLines/>
              <w:spacing w:before="40"/>
              <w:jc w:val="center"/>
              <w:rPr>
                <w:rFonts w:ascii="Tahoma" w:eastAsia="Tahoma" w:hAnsi="Tahoma" w:cs="Tahoma"/>
                <w:sz w:val="22"/>
              </w:rPr>
            </w:pPr>
            <w:r>
              <w:rPr>
                <w:rFonts w:ascii="Tahoma" w:eastAsia="Tahoma" w:hAnsi="Tahoma" w:cs="Tahoma"/>
                <w:sz w:val="22"/>
              </w:rPr>
              <w:t>Three Months Ended</w:t>
            </w:r>
          </w:p>
          <w:p w14:paraId="68719AA6" w14:textId="77777777" w:rsidR="007F78D5" w:rsidRDefault="0097540C">
            <w:pPr>
              <w:keepNext/>
              <w:keepLines/>
              <w:spacing w:after="40"/>
              <w:jc w:val="center"/>
              <w:rPr>
                <w:rFonts w:ascii="Tahoma" w:eastAsia="Tahoma" w:hAnsi="Tahoma" w:cs="Tahoma"/>
                <w:sz w:val="22"/>
              </w:rPr>
            </w:pPr>
            <w:r>
              <w:rPr>
                <w:rFonts w:ascii="Tahoma" w:eastAsia="Tahoma" w:hAnsi="Tahoma" w:cs="Tahoma"/>
                <w:sz w:val="22"/>
              </w:rPr>
              <w:t>June 30, 2014</w:t>
            </w:r>
          </w:p>
        </w:tc>
        <w:tc>
          <w:tcPr>
            <w:tcW w:w="260" w:type="dxa"/>
            <w:tcMar>
              <w:left w:w="0" w:type="dxa"/>
              <w:right w:w="60" w:type="dxa"/>
            </w:tcMar>
            <w:vAlign w:val="bottom"/>
          </w:tcPr>
          <w:p w14:paraId="6946C0BF" w14:textId="77777777" w:rsidR="007F78D5" w:rsidRDefault="007F78D5">
            <w:pPr>
              <w:keepNext/>
              <w:keepLines/>
              <w:spacing w:before="40" w:after="40"/>
            </w:pPr>
          </w:p>
        </w:tc>
        <w:tc>
          <w:tcPr>
            <w:tcW w:w="1500" w:type="dxa"/>
            <w:tcBorders>
              <w:bottom w:val="single" w:sz="8" w:space="0" w:color="auto"/>
            </w:tcBorders>
            <w:tcMar>
              <w:left w:w="60" w:type="dxa"/>
              <w:right w:w="60" w:type="dxa"/>
            </w:tcMar>
            <w:vAlign w:val="bottom"/>
          </w:tcPr>
          <w:p w14:paraId="5A5D558C" w14:textId="77777777" w:rsidR="007F78D5" w:rsidRDefault="0097540C">
            <w:pPr>
              <w:keepNext/>
              <w:keepLines/>
              <w:spacing w:before="40"/>
              <w:jc w:val="center"/>
              <w:rPr>
                <w:rFonts w:ascii="Tahoma" w:eastAsia="Tahoma" w:hAnsi="Tahoma" w:cs="Tahoma"/>
                <w:sz w:val="22"/>
              </w:rPr>
            </w:pPr>
            <w:r>
              <w:rPr>
                <w:rFonts w:ascii="Tahoma" w:eastAsia="Tahoma" w:hAnsi="Tahoma" w:cs="Tahoma"/>
                <w:sz w:val="22"/>
              </w:rPr>
              <w:t>Six Months Ended</w:t>
            </w:r>
          </w:p>
          <w:p w14:paraId="49A7C6DB" w14:textId="77777777" w:rsidR="007F78D5" w:rsidRDefault="0097540C">
            <w:pPr>
              <w:keepNext/>
              <w:keepLines/>
              <w:spacing w:after="40"/>
              <w:jc w:val="center"/>
              <w:rPr>
                <w:rFonts w:ascii="Tahoma" w:eastAsia="Tahoma" w:hAnsi="Tahoma" w:cs="Tahoma"/>
                <w:sz w:val="22"/>
              </w:rPr>
            </w:pPr>
            <w:r>
              <w:rPr>
                <w:rFonts w:ascii="Tahoma" w:eastAsia="Tahoma" w:hAnsi="Tahoma" w:cs="Tahoma"/>
                <w:sz w:val="22"/>
              </w:rPr>
              <w:t>June 30, 2015</w:t>
            </w:r>
          </w:p>
        </w:tc>
        <w:tc>
          <w:tcPr>
            <w:tcW w:w="260" w:type="dxa"/>
            <w:tcMar>
              <w:left w:w="0" w:type="dxa"/>
              <w:right w:w="60" w:type="dxa"/>
            </w:tcMar>
            <w:vAlign w:val="bottom"/>
          </w:tcPr>
          <w:p w14:paraId="4484A815" w14:textId="77777777" w:rsidR="007F78D5" w:rsidRDefault="007F78D5">
            <w:pPr>
              <w:keepNext/>
              <w:keepLines/>
              <w:spacing w:before="40" w:after="40"/>
            </w:pPr>
          </w:p>
        </w:tc>
        <w:tc>
          <w:tcPr>
            <w:tcW w:w="1500" w:type="dxa"/>
            <w:tcBorders>
              <w:bottom w:val="single" w:sz="8" w:space="0" w:color="auto"/>
            </w:tcBorders>
            <w:tcMar>
              <w:left w:w="60" w:type="dxa"/>
              <w:right w:w="60" w:type="dxa"/>
            </w:tcMar>
            <w:vAlign w:val="bottom"/>
          </w:tcPr>
          <w:p w14:paraId="30311661" w14:textId="77777777" w:rsidR="007F78D5" w:rsidRDefault="0097540C">
            <w:pPr>
              <w:keepNext/>
              <w:keepLines/>
              <w:spacing w:before="40" w:after="40"/>
              <w:jc w:val="center"/>
              <w:rPr>
                <w:rFonts w:ascii="Tahoma" w:eastAsia="Tahoma" w:hAnsi="Tahoma" w:cs="Tahoma"/>
                <w:sz w:val="22"/>
              </w:rPr>
            </w:pPr>
            <w:r>
              <w:rPr>
                <w:rFonts w:ascii="Tahoma" w:eastAsia="Tahoma" w:hAnsi="Tahoma" w:cs="Tahoma"/>
                <w:color w:val="000000"/>
                <w:sz w:val="22"/>
              </w:rPr>
              <w:t>Period from Inception to June 30, 2014</w:t>
            </w:r>
          </w:p>
        </w:tc>
      </w:tr>
      <w:tr w:rsidR="007F78D5" w14:paraId="504A7567" w14:textId="77777777">
        <w:trPr>
          <w:trHeight w:hRule="exact" w:val="320"/>
          <w:jc w:val="center"/>
        </w:trPr>
        <w:tc>
          <w:tcPr>
            <w:tcW w:w="3760" w:type="dxa"/>
            <w:shd w:val="clear" w:color="auto" w:fill="CCEEFF"/>
            <w:tcMar>
              <w:left w:w="60" w:type="dxa"/>
              <w:right w:w="40" w:type="dxa"/>
            </w:tcMar>
            <w:vAlign w:val="bottom"/>
          </w:tcPr>
          <w:p w14:paraId="021B5257"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Operating expenses:</w:t>
            </w:r>
          </w:p>
        </w:tc>
        <w:tc>
          <w:tcPr>
            <w:tcW w:w="260" w:type="dxa"/>
            <w:shd w:val="clear" w:color="auto" w:fill="CCEEFF"/>
            <w:tcMar>
              <w:left w:w="0" w:type="dxa"/>
              <w:right w:w="60" w:type="dxa"/>
            </w:tcMar>
            <w:vAlign w:val="bottom"/>
          </w:tcPr>
          <w:p w14:paraId="6D32794B"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44641A19"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4F4A188F"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689CF9DE"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692AA445"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23ECD71D"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50054A87"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7608F275" w14:textId="77777777" w:rsidR="007F78D5" w:rsidRDefault="007F78D5">
            <w:pPr>
              <w:keepNext/>
              <w:keepLines/>
              <w:spacing w:before="40" w:after="40"/>
            </w:pPr>
          </w:p>
        </w:tc>
      </w:tr>
      <w:tr w:rsidR="007F78D5" w14:paraId="5F1579D5" w14:textId="77777777">
        <w:trPr>
          <w:trHeight w:hRule="exact" w:val="320"/>
          <w:jc w:val="center"/>
        </w:trPr>
        <w:tc>
          <w:tcPr>
            <w:tcW w:w="3760" w:type="dxa"/>
            <w:tcMar>
              <w:left w:w="180" w:type="dxa"/>
              <w:right w:w="40" w:type="dxa"/>
            </w:tcMar>
            <w:vAlign w:val="bottom"/>
          </w:tcPr>
          <w:p w14:paraId="5386D6D8"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Research and development</w:t>
            </w:r>
          </w:p>
        </w:tc>
        <w:tc>
          <w:tcPr>
            <w:tcW w:w="260" w:type="dxa"/>
            <w:tcMar>
              <w:left w:w="0" w:type="dxa"/>
              <w:right w:w="60" w:type="dxa"/>
            </w:tcMar>
            <w:vAlign w:val="bottom"/>
          </w:tcPr>
          <w:p w14:paraId="76ED01EB"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Mar>
              <w:left w:w="0" w:type="dxa"/>
              <w:right w:w="60" w:type="dxa"/>
            </w:tcMar>
            <w:vAlign w:val="bottom"/>
          </w:tcPr>
          <w:p w14:paraId="7D6F9252"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3,190</w:t>
            </w:r>
          </w:p>
        </w:tc>
        <w:tc>
          <w:tcPr>
            <w:tcW w:w="260" w:type="dxa"/>
            <w:tcMar>
              <w:left w:w="0" w:type="dxa"/>
              <w:right w:w="60" w:type="dxa"/>
            </w:tcMar>
            <w:vAlign w:val="bottom"/>
          </w:tcPr>
          <w:p w14:paraId="3C4D6108"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Mar>
              <w:left w:w="0" w:type="dxa"/>
              <w:right w:w="60" w:type="dxa"/>
            </w:tcMar>
            <w:vAlign w:val="bottom"/>
          </w:tcPr>
          <w:p w14:paraId="7F903284"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1,100</w:t>
            </w:r>
          </w:p>
        </w:tc>
        <w:tc>
          <w:tcPr>
            <w:tcW w:w="260" w:type="dxa"/>
            <w:tcMar>
              <w:left w:w="0" w:type="dxa"/>
              <w:right w:w="60" w:type="dxa"/>
            </w:tcMar>
            <w:vAlign w:val="bottom"/>
          </w:tcPr>
          <w:p w14:paraId="59EEDE26"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Mar>
              <w:left w:w="0" w:type="dxa"/>
              <w:right w:w="60" w:type="dxa"/>
            </w:tcMar>
            <w:vAlign w:val="bottom"/>
          </w:tcPr>
          <w:p w14:paraId="3BCD3CBC"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5,995</w:t>
            </w:r>
          </w:p>
        </w:tc>
        <w:tc>
          <w:tcPr>
            <w:tcW w:w="260" w:type="dxa"/>
            <w:tcMar>
              <w:left w:w="0" w:type="dxa"/>
              <w:right w:w="60" w:type="dxa"/>
            </w:tcMar>
            <w:vAlign w:val="bottom"/>
          </w:tcPr>
          <w:p w14:paraId="4B9FC579"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Mar>
              <w:left w:w="0" w:type="dxa"/>
              <w:right w:w="60" w:type="dxa"/>
            </w:tcMar>
            <w:vAlign w:val="bottom"/>
          </w:tcPr>
          <w:p w14:paraId="4B67903E"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1,130</w:t>
            </w:r>
          </w:p>
        </w:tc>
      </w:tr>
      <w:tr w:rsidR="007F78D5" w14:paraId="00594DEA" w14:textId="77777777">
        <w:trPr>
          <w:trHeight w:hRule="exact" w:val="320"/>
          <w:jc w:val="center"/>
        </w:trPr>
        <w:tc>
          <w:tcPr>
            <w:tcW w:w="3760" w:type="dxa"/>
            <w:shd w:val="clear" w:color="auto" w:fill="CCEEFF"/>
            <w:tcMar>
              <w:left w:w="180" w:type="dxa"/>
              <w:right w:w="40" w:type="dxa"/>
            </w:tcMar>
            <w:vAlign w:val="bottom"/>
          </w:tcPr>
          <w:p w14:paraId="55EFBC04"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General and administrative</w:t>
            </w:r>
          </w:p>
        </w:tc>
        <w:tc>
          <w:tcPr>
            <w:tcW w:w="260" w:type="dxa"/>
            <w:shd w:val="clear" w:color="auto" w:fill="CCEEFF"/>
            <w:tcMar>
              <w:left w:w="0" w:type="dxa"/>
              <w:right w:w="60" w:type="dxa"/>
            </w:tcMar>
            <w:vAlign w:val="bottom"/>
          </w:tcPr>
          <w:p w14:paraId="690CC4E9" w14:textId="77777777" w:rsidR="007F78D5" w:rsidRDefault="007F78D5">
            <w:pPr>
              <w:keepNext/>
              <w:keepLines/>
              <w:spacing w:before="40" w:after="40"/>
            </w:pPr>
          </w:p>
        </w:tc>
        <w:tc>
          <w:tcPr>
            <w:tcW w:w="1500" w:type="dxa"/>
            <w:tcBorders>
              <w:bottom w:val="single" w:sz="8" w:space="0" w:color="auto"/>
            </w:tcBorders>
            <w:shd w:val="clear" w:color="auto" w:fill="CCEEFF"/>
            <w:tcMar>
              <w:left w:w="0" w:type="dxa"/>
              <w:right w:w="60" w:type="dxa"/>
            </w:tcMar>
            <w:vAlign w:val="bottom"/>
          </w:tcPr>
          <w:p w14:paraId="29EB0838"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3,904</w:t>
            </w:r>
          </w:p>
        </w:tc>
        <w:tc>
          <w:tcPr>
            <w:tcW w:w="260" w:type="dxa"/>
            <w:shd w:val="clear" w:color="auto" w:fill="CCEEFF"/>
            <w:tcMar>
              <w:left w:w="0" w:type="dxa"/>
              <w:right w:w="60" w:type="dxa"/>
            </w:tcMar>
            <w:vAlign w:val="bottom"/>
          </w:tcPr>
          <w:p w14:paraId="38A72390" w14:textId="77777777" w:rsidR="007F78D5" w:rsidRDefault="007F78D5">
            <w:pPr>
              <w:keepNext/>
              <w:keepLines/>
              <w:spacing w:before="40" w:after="40"/>
            </w:pPr>
          </w:p>
        </w:tc>
        <w:tc>
          <w:tcPr>
            <w:tcW w:w="1500" w:type="dxa"/>
            <w:tcBorders>
              <w:bottom w:val="single" w:sz="8" w:space="0" w:color="auto"/>
            </w:tcBorders>
            <w:shd w:val="clear" w:color="auto" w:fill="CCEEFF"/>
            <w:tcMar>
              <w:left w:w="0" w:type="dxa"/>
              <w:right w:w="60" w:type="dxa"/>
            </w:tcMar>
            <w:vAlign w:val="bottom"/>
          </w:tcPr>
          <w:p w14:paraId="7F0C0F45"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1,093</w:t>
            </w:r>
          </w:p>
        </w:tc>
        <w:tc>
          <w:tcPr>
            <w:tcW w:w="260" w:type="dxa"/>
            <w:shd w:val="clear" w:color="auto" w:fill="CCEEFF"/>
            <w:tcMar>
              <w:left w:w="0" w:type="dxa"/>
              <w:right w:w="60" w:type="dxa"/>
            </w:tcMar>
            <w:vAlign w:val="bottom"/>
          </w:tcPr>
          <w:p w14:paraId="0CB2C09B" w14:textId="77777777" w:rsidR="007F78D5" w:rsidRDefault="007F78D5">
            <w:pPr>
              <w:keepNext/>
              <w:keepLines/>
              <w:spacing w:before="40" w:after="40"/>
            </w:pPr>
          </w:p>
        </w:tc>
        <w:tc>
          <w:tcPr>
            <w:tcW w:w="1500" w:type="dxa"/>
            <w:tcBorders>
              <w:bottom w:val="single" w:sz="8" w:space="0" w:color="auto"/>
            </w:tcBorders>
            <w:shd w:val="clear" w:color="auto" w:fill="CCEEFF"/>
            <w:tcMar>
              <w:left w:w="0" w:type="dxa"/>
              <w:right w:w="60" w:type="dxa"/>
            </w:tcMar>
            <w:vAlign w:val="bottom"/>
          </w:tcPr>
          <w:p w14:paraId="4093BB92"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7,121</w:t>
            </w:r>
          </w:p>
        </w:tc>
        <w:tc>
          <w:tcPr>
            <w:tcW w:w="260" w:type="dxa"/>
            <w:shd w:val="clear" w:color="auto" w:fill="CCEEFF"/>
            <w:tcMar>
              <w:left w:w="0" w:type="dxa"/>
              <w:right w:w="60" w:type="dxa"/>
            </w:tcMar>
            <w:vAlign w:val="bottom"/>
          </w:tcPr>
          <w:p w14:paraId="7E8FB1E4" w14:textId="77777777" w:rsidR="007F78D5" w:rsidRDefault="007F78D5">
            <w:pPr>
              <w:keepNext/>
              <w:keepLines/>
              <w:spacing w:before="40" w:after="40"/>
            </w:pPr>
          </w:p>
        </w:tc>
        <w:tc>
          <w:tcPr>
            <w:tcW w:w="1500" w:type="dxa"/>
            <w:tcBorders>
              <w:bottom w:val="single" w:sz="8" w:space="0" w:color="auto"/>
            </w:tcBorders>
            <w:shd w:val="clear" w:color="auto" w:fill="CCEEFF"/>
            <w:tcMar>
              <w:left w:w="0" w:type="dxa"/>
              <w:right w:w="60" w:type="dxa"/>
            </w:tcMar>
            <w:vAlign w:val="bottom"/>
          </w:tcPr>
          <w:p w14:paraId="69A88092"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1,155</w:t>
            </w:r>
          </w:p>
        </w:tc>
      </w:tr>
      <w:tr w:rsidR="007F78D5" w14:paraId="7C7BB1D6" w14:textId="77777777">
        <w:trPr>
          <w:trHeight w:hRule="exact" w:val="320"/>
          <w:jc w:val="center"/>
        </w:trPr>
        <w:tc>
          <w:tcPr>
            <w:tcW w:w="3760" w:type="dxa"/>
            <w:tcMar>
              <w:left w:w="60" w:type="dxa"/>
              <w:right w:w="40" w:type="dxa"/>
            </w:tcMar>
            <w:vAlign w:val="bottom"/>
          </w:tcPr>
          <w:p w14:paraId="7D0EBA8F"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Total operating expenses</w:t>
            </w:r>
          </w:p>
        </w:tc>
        <w:tc>
          <w:tcPr>
            <w:tcW w:w="260" w:type="dxa"/>
            <w:tcMar>
              <w:left w:w="0" w:type="dxa"/>
              <w:right w:w="60" w:type="dxa"/>
            </w:tcMar>
            <w:vAlign w:val="bottom"/>
          </w:tcPr>
          <w:p w14:paraId="3917F4C4" w14:textId="77777777" w:rsidR="007F78D5" w:rsidRDefault="007F78D5">
            <w:pPr>
              <w:keepNext/>
              <w:keepLines/>
              <w:spacing w:before="40" w:after="40"/>
            </w:pPr>
          </w:p>
        </w:tc>
        <w:tc>
          <w:tcPr>
            <w:tcW w:w="1500" w:type="dxa"/>
            <w:tcMar>
              <w:left w:w="0" w:type="dxa"/>
              <w:right w:w="60" w:type="dxa"/>
            </w:tcMar>
            <w:vAlign w:val="bottom"/>
          </w:tcPr>
          <w:p w14:paraId="6715CBF5"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7,094</w:t>
            </w:r>
          </w:p>
        </w:tc>
        <w:tc>
          <w:tcPr>
            <w:tcW w:w="260" w:type="dxa"/>
            <w:tcMar>
              <w:left w:w="0" w:type="dxa"/>
              <w:right w:w="60" w:type="dxa"/>
            </w:tcMar>
            <w:vAlign w:val="bottom"/>
          </w:tcPr>
          <w:p w14:paraId="4A3E5E27" w14:textId="77777777" w:rsidR="007F78D5" w:rsidRDefault="007F78D5">
            <w:pPr>
              <w:keepNext/>
              <w:keepLines/>
              <w:spacing w:before="40" w:after="40"/>
            </w:pPr>
          </w:p>
        </w:tc>
        <w:tc>
          <w:tcPr>
            <w:tcW w:w="1500" w:type="dxa"/>
            <w:tcBorders>
              <w:top w:val="single" w:sz="8" w:space="0" w:color="auto"/>
            </w:tcBorders>
            <w:tcMar>
              <w:left w:w="0" w:type="dxa"/>
              <w:right w:w="60" w:type="dxa"/>
            </w:tcMar>
            <w:vAlign w:val="bottom"/>
          </w:tcPr>
          <w:p w14:paraId="55AEEA70"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2,193</w:t>
            </w:r>
          </w:p>
        </w:tc>
        <w:tc>
          <w:tcPr>
            <w:tcW w:w="260" w:type="dxa"/>
            <w:tcMar>
              <w:left w:w="0" w:type="dxa"/>
              <w:right w:w="60" w:type="dxa"/>
            </w:tcMar>
            <w:vAlign w:val="bottom"/>
          </w:tcPr>
          <w:p w14:paraId="3264B696" w14:textId="77777777" w:rsidR="007F78D5" w:rsidRDefault="007F78D5">
            <w:pPr>
              <w:keepNext/>
              <w:keepLines/>
              <w:spacing w:before="40" w:after="40"/>
            </w:pPr>
          </w:p>
        </w:tc>
        <w:tc>
          <w:tcPr>
            <w:tcW w:w="1500" w:type="dxa"/>
            <w:tcBorders>
              <w:top w:val="single" w:sz="8" w:space="0" w:color="auto"/>
            </w:tcBorders>
            <w:tcMar>
              <w:left w:w="0" w:type="dxa"/>
              <w:right w:w="60" w:type="dxa"/>
            </w:tcMar>
            <w:vAlign w:val="bottom"/>
          </w:tcPr>
          <w:p w14:paraId="5CBD618C"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13,116</w:t>
            </w:r>
          </w:p>
        </w:tc>
        <w:tc>
          <w:tcPr>
            <w:tcW w:w="260" w:type="dxa"/>
            <w:tcMar>
              <w:left w:w="0" w:type="dxa"/>
              <w:right w:w="60" w:type="dxa"/>
            </w:tcMar>
            <w:vAlign w:val="bottom"/>
          </w:tcPr>
          <w:p w14:paraId="68541585" w14:textId="77777777" w:rsidR="007F78D5" w:rsidRDefault="007F78D5">
            <w:pPr>
              <w:keepNext/>
              <w:keepLines/>
              <w:spacing w:before="40" w:after="40"/>
            </w:pPr>
          </w:p>
        </w:tc>
        <w:tc>
          <w:tcPr>
            <w:tcW w:w="1500" w:type="dxa"/>
            <w:tcBorders>
              <w:top w:val="single" w:sz="8" w:space="0" w:color="auto"/>
            </w:tcBorders>
            <w:tcMar>
              <w:left w:w="0" w:type="dxa"/>
              <w:right w:w="60" w:type="dxa"/>
            </w:tcMar>
            <w:vAlign w:val="bottom"/>
          </w:tcPr>
          <w:p w14:paraId="7CCA6B1A"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2,285</w:t>
            </w:r>
          </w:p>
        </w:tc>
      </w:tr>
      <w:tr w:rsidR="007F78D5" w14:paraId="7CA5262D" w14:textId="77777777">
        <w:trPr>
          <w:trHeight w:hRule="exact" w:val="300"/>
          <w:jc w:val="center"/>
        </w:trPr>
        <w:tc>
          <w:tcPr>
            <w:tcW w:w="3760" w:type="dxa"/>
            <w:shd w:val="clear" w:color="auto" w:fill="CCEEFF"/>
            <w:tcMar>
              <w:left w:w="60" w:type="dxa"/>
              <w:right w:w="0" w:type="dxa"/>
            </w:tcMar>
            <w:vAlign w:val="bottom"/>
          </w:tcPr>
          <w:p w14:paraId="30626670"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4A00AEBA"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173BFFD2"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73D1E47E"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5637A15F"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2F368D0F"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5ACE403B"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3582F1B9"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7B801B52" w14:textId="77777777" w:rsidR="007F78D5" w:rsidRDefault="007F78D5">
            <w:pPr>
              <w:keepNext/>
              <w:keepLines/>
              <w:spacing w:before="40" w:after="40"/>
            </w:pPr>
          </w:p>
        </w:tc>
      </w:tr>
      <w:tr w:rsidR="007F78D5" w14:paraId="1E0BC4A6" w14:textId="77777777">
        <w:trPr>
          <w:trHeight w:hRule="exact" w:val="320"/>
          <w:jc w:val="center"/>
        </w:trPr>
        <w:tc>
          <w:tcPr>
            <w:tcW w:w="3760" w:type="dxa"/>
            <w:tcMar>
              <w:left w:w="60" w:type="dxa"/>
              <w:right w:w="40" w:type="dxa"/>
            </w:tcMar>
            <w:vAlign w:val="bottom"/>
          </w:tcPr>
          <w:p w14:paraId="66B68342"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Loss from operations</w:t>
            </w:r>
          </w:p>
        </w:tc>
        <w:tc>
          <w:tcPr>
            <w:tcW w:w="260" w:type="dxa"/>
            <w:tcMar>
              <w:left w:w="0" w:type="dxa"/>
              <w:right w:w="60" w:type="dxa"/>
            </w:tcMar>
            <w:vAlign w:val="bottom"/>
          </w:tcPr>
          <w:p w14:paraId="02D65F03" w14:textId="77777777" w:rsidR="007F78D5" w:rsidRDefault="007F78D5">
            <w:pPr>
              <w:keepNext/>
              <w:keepLines/>
              <w:spacing w:before="40" w:after="40"/>
            </w:pPr>
          </w:p>
        </w:tc>
        <w:tc>
          <w:tcPr>
            <w:tcW w:w="1500" w:type="dxa"/>
            <w:tcMar>
              <w:left w:w="0" w:type="dxa"/>
              <w:right w:w="60" w:type="dxa"/>
            </w:tcMar>
            <w:vAlign w:val="bottom"/>
          </w:tcPr>
          <w:p w14:paraId="75079602"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(7,094)</w:t>
            </w:r>
          </w:p>
        </w:tc>
        <w:tc>
          <w:tcPr>
            <w:tcW w:w="260" w:type="dxa"/>
            <w:tcMar>
              <w:left w:w="0" w:type="dxa"/>
              <w:right w:w="60" w:type="dxa"/>
            </w:tcMar>
            <w:vAlign w:val="bottom"/>
          </w:tcPr>
          <w:p w14:paraId="3F12B31B" w14:textId="77777777" w:rsidR="007F78D5" w:rsidRDefault="007F78D5">
            <w:pPr>
              <w:keepNext/>
              <w:keepLines/>
              <w:spacing w:before="40" w:after="40"/>
            </w:pPr>
          </w:p>
        </w:tc>
        <w:tc>
          <w:tcPr>
            <w:tcW w:w="1500" w:type="dxa"/>
            <w:tcMar>
              <w:left w:w="0" w:type="dxa"/>
              <w:right w:w="60" w:type="dxa"/>
            </w:tcMar>
            <w:vAlign w:val="bottom"/>
          </w:tcPr>
          <w:p w14:paraId="4B6DDE43"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(2,193)</w:t>
            </w:r>
          </w:p>
        </w:tc>
        <w:tc>
          <w:tcPr>
            <w:tcW w:w="260" w:type="dxa"/>
            <w:tcMar>
              <w:left w:w="0" w:type="dxa"/>
              <w:right w:w="60" w:type="dxa"/>
            </w:tcMar>
            <w:vAlign w:val="bottom"/>
          </w:tcPr>
          <w:p w14:paraId="50F486CE" w14:textId="77777777" w:rsidR="007F78D5" w:rsidRDefault="007F78D5">
            <w:pPr>
              <w:keepNext/>
              <w:keepLines/>
              <w:spacing w:before="40" w:after="40"/>
            </w:pPr>
          </w:p>
        </w:tc>
        <w:tc>
          <w:tcPr>
            <w:tcW w:w="1500" w:type="dxa"/>
            <w:tcMar>
              <w:left w:w="0" w:type="dxa"/>
              <w:right w:w="60" w:type="dxa"/>
            </w:tcMar>
            <w:vAlign w:val="bottom"/>
          </w:tcPr>
          <w:p w14:paraId="4FE47E34"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(13,116)</w:t>
            </w:r>
          </w:p>
        </w:tc>
        <w:tc>
          <w:tcPr>
            <w:tcW w:w="260" w:type="dxa"/>
            <w:tcMar>
              <w:left w:w="0" w:type="dxa"/>
              <w:right w:w="60" w:type="dxa"/>
            </w:tcMar>
            <w:vAlign w:val="bottom"/>
          </w:tcPr>
          <w:p w14:paraId="0BCA63EA" w14:textId="77777777" w:rsidR="007F78D5" w:rsidRDefault="007F78D5">
            <w:pPr>
              <w:keepNext/>
              <w:keepLines/>
              <w:spacing w:before="40" w:after="40"/>
            </w:pPr>
          </w:p>
        </w:tc>
        <w:tc>
          <w:tcPr>
            <w:tcW w:w="1500" w:type="dxa"/>
            <w:tcMar>
              <w:left w:w="0" w:type="dxa"/>
              <w:right w:w="60" w:type="dxa"/>
            </w:tcMar>
            <w:vAlign w:val="bottom"/>
          </w:tcPr>
          <w:p w14:paraId="6E67C55F"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(2,285)</w:t>
            </w:r>
          </w:p>
        </w:tc>
      </w:tr>
      <w:tr w:rsidR="007F78D5" w14:paraId="20728783" w14:textId="77777777">
        <w:trPr>
          <w:trHeight w:hRule="exact" w:val="320"/>
          <w:jc w:val="center"/>
        </w:trPr>
        <w:tc>
          <w:tcPr>
            <w:tcW w:w="3760" w:type="dxa"/>
            <w:shd w:val="clear" w:color="auto" w:fill="CCEEFF"/>
            <w:tcMar>
              <w:left w:w="60" w:type="dxa"/>
              <w:right w:w="40" w:type="dxa"/>
            </w:tcMar>
            <w:vAlign w:val="bottom"/>
          </w:tcPr>
          <w:p w14:paraId="4483E6F3" w14:textId="77777777" w:rsidR="007F78D5" w:rsidRDefault="0097540C">
            <w:pPr>
              <w:keepNext/>
              <w:keepLines/>
              <w:spacing w:before="40" w:after="40"/>
              <w:ind w:left="90"/>
              <w:rPr>
                <w:rFonts w:ascii="Tahoma" w:eastAsia="Tahoma" w:hAnsi="Tahoma" w:cs="Tahoma"/>
                <w:sz w:val="22"/>
              </w:rPr>
            </w:pPr>
            <w:r>
              <w:rPr>
                <w:rFonts w:ascii="Tahoma" w:eastAsia="Tahoma" w:hAnsi="Tahoma" w:cs="Tahoma"/>
                <w:color w:val="000000"/>
                <w:sz w:val="22"/>
              </w:rPr>
              <w:t>Interest income, net</w:t>
            </w:r>
          </w:p>
        </w:tc>
        <w:tc>
          <w:tcPr>
            <w:tcW w:w="260" w:type="dxa"/>
            <w:shd w:val="clear" w:color="auto" w:fill="CCEEFF"/>
            <w:tcMar>
              <w:left w:w="0" w:type="dxa"/>
              <w:right w:w="60" w:type="dxa"/>
            </w:tcMar>
            <w:vAlign w:val="bottom"/>
          </w:tcPr>
          <w:p w14:paraId="133FDF88" w14:textId="77777777" w:rsidR="007F78D5" w:rsidRDefault="007F78D5">
            <w:pPr>
              <w:keepNext/>
              <w:keepLines/>
              <w:spacing w:before="40" w:after="40"/>
            </w:pPr>
          </w:p>
        </w:tc>
        <w:tc>
          <w:tcPr>
            <w:tcW w:w="1500" w:type="dxa"/>
            <w:tcBorders>
              <w:bottom w:val="single" w:sz="8" w:space="0" w:color="auto"/>
            </w:tcBorders>
            <w:shd w:val="clear" w:color="auto" w:fill="CCEEFF"/>
            <w:tcMar>
              <w:left w:w="0" w:type="dxa"/>
              <w:right w:w="60" w:type="dxa"/>
            </w:tcMar>
            <w:vAlign w:val="bottom"/>
          </w:tcPr>
          <w:p w14:paraId="146F236D"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16</w:t>
            </w:r>
          </w:p>
        </w:tc>
        <w:tc>
          <w:tcPr>
            <w:tcW w:w="260" w:type="dxa"/>
            <w:shd w:val="clear" w:color="auto" w:fill="CCEEFF"/>
            <w:tcMar>
              <w:left w:w="0" w:type="dxa"/>
              <w:right w:w="60" w:type="dxa"/>
            </w:tcMar>
            <w:vAlign w:val="bottom"/>
          </w:tcPr>
          <w:p w14:paraId="06AEB6DC" w14:textId="77777777" w:rsidR="007F78D5" w:rsidRDefault="007F78D5">
            <w:pPr>
              <w:keepNext/>
              <w:keepLines/>
              <w:spacing w:before="40" w:after="40"/>
            </w:pPr>
          </w:p>
        </w:tc>
        <w:tc>
          <w:tcPr>
            <w:tcW w:w="1500" w:type="dxa"/>
            <w:tcBorders>
              <w:bottom w:val="single" w:sz="8" w:space="0" w:color="auto"/>
            </w:tcBorders>
            <w:shd w:val="clear" w:color="auto" w:fill="CCEEFF"/>
            <w:tcMar>
              <w:left w:w="0" w:type="dxa"/>
              <w:right w:w="60" w:type="dxa"/>
            </w:tcMar>
            <w:vAlign w:val="bottom"/>
          </w:tcPr>
          <w:p w14:paraId="77A9DA7A"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3</w:t>
            </w:r>
          </w:p>
        </w:tc>
        <w:tc>
          <w:tcPr>
            <w:tcW w:w="260" w:type="dxa"/>
            <w:shd w:val="clear" w:color="auto" w:fill="CCEEFF"/>
            <w:tcMar>
              <w:left w:w="0" w:type="dxa"/>
              <w:right w:w="60" w:type="dxa"/>
            </w:tcMar>
            <w:vAlign w:val="bottom"/>
          </w:tcPr>
          <w:p w14:paraId="4A2F823D" w14:textId="77777777" w:rsidR="007F78D5" w:rsidRDefault="007F78D5">
            <w:pPr>
              <w:keepNext/>
              <w:keepLines/>
              <w:spacing w:before="40" w:after="40"/>
            </w:pPr>
          </w:p>
        </w:tc>
        <w:tc>
          <w:tcPr>
            <w:tcW w:w="1500" w:type="dxa"/>
            <w:tcBorders>
              <w:bottom w:val="single" w:sz="8" w:space="0" w:color="auto"/>
            </w:tcBorders>
            <w:shd w:val="clear" w:color="auto" w:fill="CCEEFF"/>
            <w:tcMar>
              <w:left w:w="0" w:type="dxa"/>
              <w:right w:w="60" w:type="dxa"/>
            </w:tcMar>
            <w:vAlign w:val="bottom"/>
          </w:tcPr>
          <w:p w14:paraId="1BA44B2F"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20</w:t>
            </w:r>
          </w:p>
        </w:tc>
        <w:tc>
          <w:tcPr>
            <w:tcW w:w="260" w:type="dxa"/>
            <w:shd w:val="clear" w:color="auto" w:fill="CCEEFF"/>
            <w:tcMar>
              <w:left w:w="0" w:type="dxa"/>
              <w:right w:w="60" w:type="dxa"/>
            </w:tcMar>
            <w:vAlign w:val="bottom"/>
          </w:tcPr>
          <w:p w14:paraId="08E50891" w14:textId="77777777" w:rsidR="007F78D5" w:rsidRDefault="007F78D5">
            <w:pPr>
              <w:keepNext/>
              <w:keepLines/>
              <w:spacing w:before="40" w:after="40"/>
            </w:pPr>
          </w:p>
        </w:tc>
        <w:tc>
          <w:tcPr>
            <w:tcW w:w="1500" w:type="dxa"/>
            <w:tcBorders>
              <w:bottom w:val="single" w:sz="8" w:space="0" w:color="auto"/>
            </w:tcBorders>
            <w:shd w:val="clear" w:color="auto" w:fill="CCEEFF"/>
            <w:tcMar>
              <w:left w:w="0" w:type="dxa"/>
              <w:right w:w="60" w:type="dxa"/>
            </w:tcMar>
            <w:vAlign w:val="bottom"/>
          </w:tcPr>
          <w:p w14:paraId="558668E2"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3</w:t>
            </w:r>
          </w:p>
        </w:tc>
      </w:tr>
      <w:tr w:rsidR="007F78D5" w14:paraId="7EAC0F31" w14:textId="77777777">
        <w:trPr>
          <w:trHeight w:hRule="exact" w:val="320"/>
          <w:jc w:val="center"/>
        </w:trPr>
        <w:tc>
          <w:tcPr>
            <w:tcW w:w="3760" w:type="dxa"/>
            <w:tcMar>
              <w:left w:w="60" w:type="dxa"/>
              <w:right w:w="40" w:type="dxa"/>
            </w:tcMar>
            <w:vAlign w:val="bottom"/>
          </w:tcPr>
          <w:p w14:paraId="64C56529"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Net loss</w:t>
            </w:r>
          </w:p>
        </w:tc>
        <w:tc>
          <w:tcPr>
            <w:tcW w:w="260" w:type="dxa"/>
            <w:tcMar>
              <w:left w:w="0" w:type="dxa"/>
              <w:right w:w="60" w:type="dxa"/>
            </w:tcMar>
            <w:vAlign w:val="bottom"/>
          </w:tcPr>
          <w:p w14:paraId="03C6B50F"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Borders>
              <w:bottom w:val="double" w:sz="4" w:space="0" w:color="auto"/>
            </w:tcBorders>
            <w:tcMar>
              <w:left w:w="0" w:type="dxa"/>
              <w:right w:w="60" w:type="dxa"/>
            </w:tcMar>
            <w:vAlign w:val="bottom"/>
          </w:tcPr>
          <w:p w14:paraId="791CA7C9"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(7,078)</w:t>
            </w:r>
          </w:p>
        </w:tc>
        <w:tc>
          <w:tcPr>
            <w:tcW w:w="260" w:type="dxa"/>
            <w:tcMar>
              <w:left w:w="0" w:type="dxa"/>
              <w:right w:w="60" w:type="dxa"/>
            </w:tcMar>
            <w:vAlign w:val="bottom"/>
          </w:tcPr>
          <w:p w14:paraId="5B5DB1B8"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Borders>
              <w:top w:val="single" w:sz="8" w:space="0" w:color="auto"/>
              <w:bottom w:val="double" w:sz="4" w:space="0" w:color="auto"/>
            </w:tcBorders>
            <w:tcMar>
              <w:left w:w="0" w:type="dxa"/>
              <w:right w:w="60" w:type="dxa"/>
            </w:tcMar>
            <w:vAlign w:val="bottom"/>
          </w:tcPr>
          <w:p w14:paraId="3477C8AB"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(2,190)</w:t>
            </w:r>
          </w:p>
        </w:tc>
        <w:tc>
          <w:tcPr>
            <w:tcW w:w="260" w:type="dxa"/>
            <w:tcMar>
              <w:left w:w="0" w:type="dxa"/>
              <w:right w:w="60" w:type="dxa"/>
            </w:tcMar>
            <w:vAlign w:val="bottom"/>
          </w:tcPr>
          <w:p w14:paraId="725A2661"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Borders>
              <w:top w:val="single" w:sz="8" w:space="0" w:color="auto"/>
              <w:bottom w:val="double" w:sz="4" w:space="0" w:color="auto"/>
            </w:tcBorders>
            <w:tcMar>
              <w:left w:w="0" w:type="dxa"/>
              <w:right w:w="60" w:type="dxa"/>
            </w:tcMar>
            <w:vAlign w:val="bottom"/>
          </w:tcPr>
          <w:p w14:paraId="077F446A"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(13,096)</w:t>
            </w:r>
          </w:p>
        </w:tc>
        <w:tc>
          <w:tcPr>
            <w:tcW w:w="260" w:type="dxa"/>
            <w:tcMar>
              <w:left w:w="0" w:type="dxa"/>
              <w:right w:w="60" w:type="dxa"/>
            </w:tcMar>
            <w:vAlign w:val="bottom"/>
          </w:tcPr>
          <w:p w14:paraId="38703CA6"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Borders>
              <w:top w:val="single" w:sz="8" w:space="0" w:color="auto"/>
              <w:bottom w:val="double" w:sz="4" w:space="0" w:color="auto"/>
            </w:tcBorders>
            <w:tcMar>
              <w:left w:w="0" w:type="dxa"/>
              <w:right w:w="60" w:type="dxa"/>
            </w:tcMar>
            <w:vAlign w:val="bottom"/>
          </w:tcPr>
          <w:p w14:paraId="44D3713D" w14:textId="77777777" w:rsidR="007F78D5" w:rsidRDefault="0097540C">
            <w:pPr>
              <w:keepNext/>
              <w:keepLines/>
              <w:spacing w:before="40" w:after="40"/>
              <w:ind w:firstLine="40"/>
              <w:jc w:val="right"/>
              <w:rPr>
                <w:rFonts w:ascii="Tahoma" w:eastAsia="Tahoma" w:hAnsi="Tahoma" w:cs="Tahoma"/>
                <w:sz w:val="22"/>
              </w:rPr>
            </w:pPr>
            <w:r>
              <w:rPr>
                <w:rFonts w:ascii="Tahoma" w:eastAsia="Tahoma" w:hAnsi="Tahoma" w:cs="Tahoma"/>
                <w:color w:val="000000"/>
                <w:sz w:val="22"/>
              </w:rPr>
              <w:t>(2,282)</w:t>
            </w:r>
          </w:p>
        </w:tc>
      </w:tr>
      <w:tr w:rsidR="007F78D5" w14:paraId="651D2F6D" w14:textId="77777777">
        <w:trPr>
          <w:trHeight w:hRule="exact" w:val="300"/>
          <w:jc w:val="center"/>
        </w:trPr>
        <w:tc>
          <w:tcPr>
            <w:tcW w:w="3760" w:type="dxa"/>
            <w:shd w:val="clear" w:color="auto" w:fill="CCEEFF"/>
            <w:tcMar>
              <w:left w:w="60" w:type="dxa"/>
              <w:right w:w="0" w:type="dxa"/>
            </w:tcMar>
            <w:vAlign w:val="bottom"/>
          </w:tcPr>
          <w:p w14:paraId="29CFC96E"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236F59E7"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01D8BDB3"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72F23A24"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51AD672C"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045BE9B7"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5521C614"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0BB8DABD"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4DAC4699" w14:textId="77777777" w:rsidR="007F78D5" w:rsidRDefault="007F78D5">
            <w:pPr>
              <w:keepNext/>
              <w:keepLines/>
              <w:spacing w:before="40" w:after="40"/>
            </w:pPr>
          </w:p>
        </w:tc>
      </w:tr>
      <w:tr w:rsidR="007F78D5" w14:paraId="3B67E7A5" w14:textId="77777777">
        <w:trPr>
          <w:trHeight w:hRule="exact" w:val="320"/>
          <w:jc w:val="center"/>
        </w:trPr>
        <w:tc>
          <w:tcPr>
            <w:tcW w:w="3760" w:type="dxa"/>
            <w:tcMar>
              <w:left w:w="60" w:type="dxa"/>
              <w:right w:w="40" w:type="dxa"/>
            </w:tcMar>
            <w:vAlign w:val="bottom"/>
          </w:tcPr>
          <w:p w14:paraId="2BB14C41" w14:textId="77777777" w:rsidR="007F78D5" w:rsidRDefault="0097540C">
            <w:pPr>
              <w:keepNext/>
              <w:keepLines/>
              <w:spacing w:before="40" w:after="40"/>
              <w:rPr>
                <w:rFonts w:ascii="Tahoma" w:eastAsia="Tahoma" w:hAnsi="Tahoma" w:cs="Tahoma"/>
                <w:sz w:val="22"/>
              </w:rPr>
            </w:pPr>
            <w:r>
              <w:rPr>
                <w:rFonts w:ascii="Tahoma" w:eastAsia="Tahoma" w:hAnsi="Tahoma" w:cs="Tahoma"/>
                <w:color w:val="000000"/>
                <w:sz w:val="22"/>
              </w:rPr>
              <w:t>Net loss per share–basic and diluted</w:t>
            </w:r>
          </w:p>
        </w:tc>
        <w:tc>
          <w:tcPr>
            <w:tcW w:w="260" w:type="dxa"/>
            <w:tcMar>
              <w:left w:w="0" w:type="dxa"/>
              <w:right w:w="60" w:type="dxa"/>
            </w:tcMar>
            <w:vAlign w:val="bottom"/>
          </w:tcPr>
          <w:p w14:paraId="4BC7236B"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Borders>
              <w:bottom w:val="double" w:sz="4" w:space="0" w:color="auto"/>
            </w:tcBorders>
            <w:tcMar>
              <w:left w:w="0" w:type="dxa"/>
              <w:right w:w="60" w:type="dxa"/>
            </w:tcMar>
            <w:vAlign w:val="bottom"/>
          </w:tcPr>
          <w:p w14:paraId="31A6967D"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(0.47)</w:t>
            </w:r>
          </w:p>
        </w:tc>
        <w:tc>
          <w:tcPr>
            <w:tcW w:w="260" w:type="dxa"/>
            <w:tcMar>
              <w:left w:w="0" w:type="dxa"/>
              <w:right w:w="60" w:type="dxa"/>
            </w:tcMar>
            <w:vAlign w:val="bottom"/>
          </w:tcPr>
          <w:p w14:paraId="5EE81259"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Borders>
              <w:bottom w:val="double" w:sz="4" w:space="0" w:color="auto"/>
            </w:tcBorders>
            <w:tcMar>
              <w:left w:w="0" w:type="dxa"/>
              <w:right w:w="60" w:type="dxa"/>
            </w:tcMar>
            <w:vAlign w:val="bottom"/>
          </w:tcPr>
          <w:p w14:paraId="0814D17A"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(1.42)</w:t>
            </w:r>
          </w:p>
        </w:tc>
        <w:tc>
          <w:tcPr>
            <w:tcW w:w="260" w:type="dxa"/>
            <w:tcMar>
              <w:left w:w="0" w:type="dxa"/>
              <w:right w:w="60" w:type="dxa"/>
            </w:tcMar>
            <w:vAlign w:val="bottom"/>
          </w:tcPr>
          <w:p w14:paraId="21B4F370"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Borders>
              <w:bottom w:val="double" w:sz="4" w:space="0" w:color="auto"/>
            </w:tcBorders>
            <w:tcMar>
              <w:left w:w="0" w:type="dxa"/>
              <w:right w:w="60" w:type="dxa"/>
            </w:tcMar>
            <w:vAlign w:val="bottom"/>
          </w:tcPr>
          <w:p w14:paraId="35EBD96B"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(1.04)</w:t>
            </w:r>
          </w:p>
        </w:tc>
        <w:tc>
          <w:tcPr>
            <w:tcW w:w="260" w:type="dxa"/>
            <w:tcMar>
              <w:left w:w="0" w:type="dxa"/>
              <w:right w:w="60" w:type="dxa"/>
            </w:tcMar>
            <w:vAlign w:val="bottom"/>
          </w:tcPr>
          <w:p w14:paraId="3400AD85"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1500" w:type="dxa"/>
            <w:tcBorders>
              <w:bottom w:val="double" w:sz="4" w:space="0" w:color="auto"/>
            </w:tcBorders>
            <w:tcMar>
              <w:left w:w="0" w:type="dxa"/>
              <w:right w:w="60" w:type="dxa"/>
            </w:tcMar>
            <w:vAlign w:val="bottom"/>
          </w:tcPr>
          <w:p w14:paraId="190DA461" w14:textId="77777777" w:rsidR="007F78D5" w:rsidRDefault="0097540C">
            <w:pPr>
              <w:keepNext/>
              <w:keepLines/>
              <w:spacing w:before="40" w:after="40"/>
              <w:jc w:val="right"/>
              <w:rPr>
                <w:rFonts w:ascii="Tahoma" w:eastAsia="Tahoma" w:hAnsi="Tahoma" w:cs="Tahoma"/>
                <w:sz w:val="22"/>
              </w:rPr>
            </w:pPr>
            <w:r>
              <w:rPr>
                <w:rFonts w:ascii="Tahoma" w:eastAsia="Tahoma" w:hAnsi="Tahoma" w:cs="Tahoma"/>
                <w:color w:val="000000"/>
                <w:sz w:val="22"/>
              </w:rPr>
              <w:t>(1.53)</w:t>
            </w:r>
          </w:p>
        </w:tc>
      </w:tr>
      <w:tr w:rsidR="007F78D5" w14:paraId="61AA4EFA" w14:textId="77777777">
        <w:trPr>
          <w:trHeight w:hRule="exact" w:val="300"/>
          <w:jc w:val="center"/>
        </w:trPr>
        <w:tc>
          <w:tcPr>
            <w:tcW w:w="3760" w:type="dxa"/>
            <w:shd w:val="clear" w:color="auto" w:fill="CCEEFF"/>
            <w:tcMar>
              <w:left w:w="60" w:type="dxa"/>
              <w:right w:w="0" w:type="dxa"/>
            </w:tcMar>
            <w:vAlign w:val="bottom"/>
          </w:tcPr>
          <w:p w14:paraId="1C2E6695" w14:textId="77777777" w:rsidR="007F78D5" w:rsidRDefault="007F78D5">
            <w:pPr>
              <w:keepNext/>
              <w:keepLines/>
              <w:spacing w:before="40" w:after="40"/>
            </w:pPr>
          </w:p>
        </w:tc>
        <w:tc>
          <w:tcPr>
            <w:tcW w:w="260" w:type="dxa"/>
            <w:shd w:val="clear" w:color="auto" w:fill="CCEEFF"/>
            <w:tcMar>
              <w:left w:w="0" w:type="dxa"/>
              <w:right w:w="60" w:type="dxa"/>
            </w:tcMar>
            <w:vAlign w:val="bottom"/>
          </w:tcPr>
          <w:p w14:paraId="3B221A1A"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26502539" w14:textId="77777777" w:rsidR="007F78D5" w:rsidRDefault="007F78D5">
            <w:pPr>
              <w:keepNext/>
              <w:keepLines/>
              <w:spacing w:before="40" w:after="40"/>
            </w:pPr>
          </w:p>
        </w:tc>
        <w:tc>
          <w:tcPr>
            <w:tcW w:w="260" w:type="dxa"/>
            <w:shd w:val="clear" w:color="auto" w:fill="CCEEFF"/>
            <w:tcMar>
              <w:left w:w="60" w:type="dxa"/>
              <w:right w:w="0" w:type="dxa"/>
            </w:tcMar>
            <w:vAlign w:val="bottom"/>
          </w:tcPr>
          <w:p w14:paraId="6BB0C403"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775C8BCA" w14:textId="77777777" w:rsidR="007F78D5" w:rsidRDefault="007F78D5">
            <w:pPr>
              <w:keepNext/>
              <w:keepLines/>
              <w:spacing w:before="40" w:after="40"/>
            </w:pPr>
          </w:p>
        </w:tc>
        <w:tc>
          <w:tcPr>
            <w:tcW w:w="260" w:type="dxa"/>
            <w:shd w:val="clear" w:color="auto" w:fill="CCEEFF"/>
            <w:tcMar>
              <w:left w:w="60" w:type="dxa"/>
              <w:right w:w="0" w:type="dxa"/>
            </w:tcMar>
            <w:vAlign w:val="bottom"/>
          </w:tcPr>
          <w:p w14:paraId="346BC962"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261977F7" w14:textId="77777777" w:rsidR="007F78D5" w:rsidRDefault="007F78D5">
            <w:pPr>
              <w:keepNext/>
              <w:keepLines/>
              <w:spacing w:before="40" w:after="40"/>
            </w:pPr>
          </w:p>
        </w:tc>
        <w:tc>
          <w:tcPr>
            <w:tcW w:w="260" w:type="dxa"/>
            <w:shd w:val="clear" w:color="auto" w:fill="CCEEFF"/>
            <w:tcMar>
              <w:left w:w="60" w:type="dxa"/>
              <w:right w:w="0" w:type="dxa"/>
            </w:tcMar>
            <w:vAlign w:val="bottom"/>
          </w:tcPr>
          <w:p w14:paraId="3A1BFD85" w14:textId="77777777" w:rsidR="007F78D5" w:rsidRDefault="007F78D5">
            <w:pPr>
              <w:keepNext/>
              <w:keepLines/>
              <w:spacing w:before="40" w:after="40"/>
            </w:pPr>
          </w:p>
        </w:tc>
        <w:tc>
          <w:tcPr>
            <w:tcW w:w="1500" w:type="dxa"/>
            <w:shd w:val="clear" w:color="auto" w:fill="CCEEFF"/>
            <w:tcMar>
              <w:left w:w="60" w:type="dxa"/>
              <w:right w:w="0" w:type="dxa"/>
            </w:tcMar>
            <w:vAlign w:val="bottom"/>
          </w:tcPr>
          <w:p w14:paraId="5ED9B965" w14:textId="77777777" w:rsidR="007F78D5" w:rsidRDefault="007F78D5">
            <w:pPr>
              <w:keepNext/>
              <w:keepLines/>
              <w:spacing w:before="40" w:after="40"/>
            </w:pPr>
          </w:p>
        </w:tc>
      </w:tr>
      <w:tr w:rsidR="007F78D5" w14:paraId="47095708" w14:textId="77777777">
        <w:trPr>
          <w:trHeight w:hRule="exact" w:val="660"/>
          <w:jc w:val="center"/>
        </w:trPr>
        <w:tc>
          <w:tcPr>
            <w:tcW w:w="3760" w:type="dxa"/>
            <w:tcMar>
              <w:left w:w="60" w:type="dxa"/>
              <w:right w:w="40" w:type="dxa"/>
            </w:tcMar>
            <w:vAlign w:val="bottom"/>
          </w:tcPr>
          <w:p w14:paraId="5DA4AD40" w14:textId="77777777" w:rsidR="007F78D5" w:rsidRDefault="0097540C">
            <w:pPr>
              <w:keepLines/>
              <w:spacing w:before="40" w:after="40"/>
              <w:rPr>
                <w:rFonts w:ascii="Tahoma" w:eastAsia="Tahoma" w:hAnsi="Tahoma" w:cs="Tahoma"/>
                <w:sz w:val="22"/>
              </w:rPr>
            </w:pPr>
            <w:r>
              <w:rPr>
                <w:rFonts w:ascii="Tahoma" w:eastAsia="Tahoma" w:hAnsi="Tahoma" w:cs="Tahoma"/>
                <w:color w:val="000000"/>
                <w:sz w:val="22"/>
              </w:rPr>
              <w:t>Weighted-average number of common shares outstanding (1)</w:t>
            </w:r>
          </w:p>
        </w:tc>
        <w:tc>
          <w:tcPr>
            <w:tcW w:w="260" w:type="dxa"/>
            <w:tcMar>
              <w:left w:w="0" w:type="dxa"/>
              <w:right w:w="60" w:type="dxa"/>
            </w:tcMar>
            <w:vAlign w:val="bottom"/>
          </w:tcPr>
          <w:p w14:paraId="119767B0" w14:textId="77777777" w:rsidR="007F78D5" w:rsidRDefault="007F78D5">
            <w:pPr>
              <w:keepLines/>
              <w:spacing w:before="40" w:after="40"/>
            </w:pPr>
          </w:p>
        </w:tc>
        <w:tc>
          <w:tcPr>
            <w:tcW w:w="1500" w:type="dxa"/>
            <w:tcBorders>
              <w:bottom w:val="double" w:sz="4" w:space="0" w:color="auto"/>
            </w:tcBorders>
            <w:tcMar>
              <w:left w:w="0" w:type="dxa"/>
              <w:right w:w="60" w:type="dxa"/>
            </w:tcMar>
            <w:vAlign w:val="bottom"/>
          </w:tcPr>
          <w:p w14:paraId="787192F1" w14:textId="77777777" w:rsidR="007F78D5" w:rsidRDefault="0097540C">
            <w:pPr>
              <w:keepLines/>
              <w:spacing w:before="40" w:after="40"/>
              <w:jc w:val="right"/>
              <w:rPr>
                <w:rFonts w:ascii="Tahoma" w:eastAsia="Tahoma" w:hAnsi="Tahoma" w:cs="Tahoma"/>
                <w:sz w:val="22"/>
              </w:rPr>
            </w:pPr>
            <w:r>
              <w:rPr>
                <w:rFonts w:ascii="Tahoma" w:eastAsia="Tahoma" w:hAnsi="Tahoma" w:cs="Tahoma"/>
                <w:color w:val="000000"/>
                <w:sz w:val="22"/>
              </w:rPr>
              <w:t>15,035</w:t>
            </w:r>
          </w:p>
        </w:tc>
        <w:tc>
          <w:tcPr>
            <w:tcW w:w="260" w:type="dxa"/>
            <w:tcMar>
              <w:left w:w="60" w:type="dxa"/>
              <w:right w:w="0" w:type="dxa"/>
            </w:tcMar>
            <w:vAlign w:val="bottom"/>
          </w:tcPr>
          <w:p w14:paraId="381F16BF" w14:textId="77777777" w:rsidR="007F78D5" w:rsidRDefault="007F78D5">
            <w:pPr>
              <w:keepLines/>
              <w:spacing w:before="40" w:after="40"/>
            </w:pPr>
          </w:p>
        </w:tc>
        <w:tc>
          <w:tcPr>
            <w:tcW w:w="1500" w:type="dxa"/>
            <w:tcBorders>
              <w:bottom w:val="double" w:sz="4" w:space="0" w:color="auto"/>
            </w:tcBorders>
            <w:tcMar>
              <w:left w:w="0" w:type="dxa"/>
              <w:right w:w="60" w:type="dxa"/>
            </w:tcMar>
            <w:vAlign w:val="bottom"/>
          </w:tcPr>
          <w:p w14:paraId="1BB86625" w14:textId="77777777" w:rsidR="007F78D5" w:rsidRDefault="0097540C">
            <w:pPr>
              <w:keepLines/>
              <w:spacing w:before="40" w:after="40"/>
              <w:jc w:val="right"/>
              <w:rPr>
                <w:rFonts w:ascii="Tahoma" w:eastAsia="Tahoma" w:hAnsi="Tahoma" w:cs="Tahoma"/>
                <w:sz w:val="22"/>
              </w:rPr>
            </w:pPr>
            <w:r>
              <w:rPr>
                <w:rFonts w:ascii="Tahoma" w:eastAsia="Tahoma" w:hAnsi="Tahoma" w:cs="Tahoma"/>
                <w:color w:val="000000"/>
                <w:sz w:val="22"/>
              </w:rPr>
              <w:t>1,539</w:t>
            </w:r>
          </w:p>
        </w:tc>
        <w:tc>
          <w:tcPr>
            <w:tcW w:w="260" w:type="dxa"/>
            <w:tcMar>
              <w:left w:w="60" w:type="dxa"/>
              <w:right w:w="0" w:type="dxa"/>
            </w:tcMar>
            <w:vAlign w:val="bottom"/>
          </w:tcPr>
          <w:p w14:paraId="0C335B3B" w14:textId="77777777" w:rsidR="007F78D5" w:rsidRDefault="007F78D5">
            <w:pPr>
              <w:keepLines/>
              <w:spacing w:before="40" w:after="40"/>
            </w:pPr>
          </w:p>
        </w:tc>
        <w:tc>
          <w:tcPr>
            <w:tcW w:w="1500" w:type="dxa"/>
            <w:tcBorders>
              <w:bottom w:val="double" w:sz="4" w:space="0" w:color="auto"/>
            </w:tcBorders>
            <w:tcMar>
              <w:left w:w="0" w:type="dxa"/>
              <w:right w:w="60" w:type="dxa"/>
            </w:tcMar>
            <w:vAlign w:val="bottom"/>
          </w:tcPr>
          <w:p w14:paraId="293FAC58" w14:textId="77777777" w:rsidR="007F78D5" w:rsidRDefault="0097540C">
            <w:pPr>
              <w:keepLines/>
              <w:spacing w:before="40" w:after="40"/>
              <w:jc w:val="right"/>
              <w:rPr>
                <w:rFonts w:ascii="Tahoma" w:eastAsia="Tahoma" w:hAnsi="Tahoma" w:cs="Tahoma"/>
                <w:sz w:val="22"/>
              </w:rPr>
            </w:pPr>
            <w:r>
              <w:rPr>
                <w:rFonts w:ascii="Tahoma" w:eastAsia="Tahoma" w:hAnsi="Tahoma" w:cs="Tahoma"/>
                <w:color w:val="000000"/>
                <w:sz w:val="22"/>
              </w:rPr>
              <w:t>12,621</w:t>
            </w:r>
          </w:p>
        </w:tc>
        <w:tc>
          <w:tcPr>
            <w:tcW w:w="260" w:type="dxa"/>
            <w:tcMar>
              <w:left w:w="60" w:type="dxa"/>
              <w:right w:w="0" w:type="dxa"/>
            </w:tcMar>
            <w:vAlign w:val="bottom"/>
          </w:tcPr>
          <w:p w14:paraId="0AC37181" w14:textId="77777777" w:rsidR="007F78D5" w:rsidRDefault="007F78D5">
            <w:pPr>
              <w:keepLines/>
              <w:spacing w:before="40" w:after="40"/>
            </w:pPr>
          </w:p>
        </w:tc>
        <w:tc>
          <w:tcPr>
            <w:tcW w:w="1500" w:type="dxa"/>
            <w:tcBorders>
              <w:bottom w:val="double" w:sz="4" w:space="0" w:color="auto"/>
            </w:tcBorders>
            <w:tcMar>
              <w:left w:w="0" w:type="dxa"/>
              <w:right w:w="60" w:type="dxa"/>
            </w:tcMar>
            <w:vAlign w:val="bottom"/>
          </w:tcPr>
          <w:p w14:paraId="06E62AEC" w14:textId="77777777" w:rsidR="007F78D5" w:rsidRDefault="0097540C">
            <w:pPr>
              <w:keepLines/>
              <w:spacing w:before="40" w:after="40"/>
              <w:jc w:val="right"/>
              <w:rPr>
                <w:rFonts w:ascii="Tahoma" w:eastAsia="Tahoma" w:hAnsi="Tahoma" w:cs="Tahoma"/>
                <w:sz w:val="22"/>
              </w:rPr>
            </w:pPr>
            <w:r>
              <w:rPr>
                <w:rFonts w:ascii="Tahoma" w:eastAsia="Tahoma" w:hAnsi="Tahoma" w:cs="Tahoma"/>
                <w:color w:val="000000"/>
                <w:sz w:val="22"/>
              </w:rPr>
              <w:t>1,493</w:t>
            </w:r>
          </w:p>
        </w:tc>
      </w:tr>
    </w:tbl>
    <w:p w14:paraId="4C5CA9B1" w14:textId="77777777" w:rsidR="007F78D5" w:rsidRDefault="007F78D5">
      <w:pPr>
        <w:spacing w:line="346" w:lineRule="auto"/>
        <w:rPr>
          <w:rFonts w:ascii="Tahoma" w:eastAsia="Tahoma" w:hAnsi="Tahoma" w:cs="Tahoma"/>
          <w:sz w:val="18"/>
        </w:rPr>
      </w:pPr>
    </w:p>
    <w:p w14:paraId="19E6D8B3" w14:textId="77777777" w:rsidR="007F78D5" w:rsidRDefault="0097540C">
      <w:pPr>
        <w:numPr>
          <w:ilvl w:val="0"/>
          <w:numId w:val="11"/>
        </w:numPr>
        <w:tabs>
          <w:tab w:val="left" w:pos="720"/>
        </w:tabs>
        <w:spacing w:line="346" w:lineRule="auto"/>
        <w:ind w:left="360"/>
        <w:rPr>
          <w:rFonts w:ascii="Tahoma" w:eastAsia="Tahoma" w:hAnsi="Tahoma" w:cs="Tahoma"/>
          <w:sz w:val="18"/>
        </w:rPr>
      </w:pPr>
      <w:r>
        <w:rPr>
          <w:rFonts w:ascii="Tahoma" w:eastAsia="Tahoma" w:hAnsi="Tahoma" w:cs="Tahoma"/>
          <w:sz w:val="18"/>
        </w:rPr>
        <w:t>As of June 30, 2015, the Company had issued approximately 5.4 million shares of restricted stock that are subject to vesting. Of these shares, approximately 2.7 million shares had vested as of June 30, 2015 and are outstanding for purposes of computing weighted-average shares outstanding. The remaining shares will be included in the weighted average shares outstanding calculation as such shares vest. Approximately 5.5 million shares issued by the Company in its IPO in February of 2015 are considered outstanding for the weighted-average shares calculation at the date of issuance and approximately 7.0 million shares of common stock issued upon conversion of all outstanding shares of preferred stock are included in weighted-average shares outstanding from the date of the closing of the IPO.</w:t>
      </w:r>
    </w:p>
    <w:sectPr w:rsidR="007F78D5">
      <w:headerReference w:type="even" r:id="rId27"/>
      <w:headerReference w:type="default" r:id="rId28"/>
      <w:footerReference w:type="even" r:id="rId29"/>
      <w:footerReference w:type="default" r:id="rId30"/>
      <w:pgSz w:w="12240" w:h="15840"/>
      <w:pgMar w:top="720" w:right="720" w:bottom="720" w:left="720" w:header="160" w:footer="520" w:gutter="0"/>
      <w:pgNumType w:chapSep="period"/>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11DEA" w14:textId="77777777" w:rsidR="0097540C" w:rsidRDefault="0097540C">
      <w:r>
        <w:separator/>
      </w:r>
    </w:p>
  </w:endnote>
  <w:endnote w:type="continuationSeparator" w:id="0">
    <w:p w14:paraId="0DB2A22A" w14:textId="77777777" w:rsidR="0097540C" w:rsidRDefault="0097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E53F9" w14:textId="77777777" w:rsidR="002704F8" w:rsidRDefault="0097540C">
    <w:r>
      <w:cr/>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A0148" w14:textId="77777777" w:rsidR="002704F8" w:rsidRDefault="0097540C">
    <w:r>
      <w:cr/>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ED469" w14:textId="77777777" w:rsidR="002704F8" w:rsidRDefault="0097540C">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AFC97" w14:textId="77777777" w:rsidR="002704F8" w:rsidRDefault="0097540C">
    <w:r>
      <w:cr/>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3105B" w14:textId="77777777" w:rsidR="002704F8" w:rsidRDefault="0097540C">
    <w:r>
      <w:cr/>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EDDEE" w14:textId="77777777" w:rsidR="002704F8" w:rsidRDefault="0097540C">
    <w:r>
      <w:cr/>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E30F4" w14:textId="77777777" w:rsidR="002704F8" w:rsidRDefault="0097540C">
    <w:r>
      <w:cr/>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3680" w14:textId="77777777" w:rsidR="002704F8" w:rsidRDefault="0097540C">
    <w:r>
      <w:cr/>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3BE7C" w14:textId="77777777" w:rsidR="002704F8" w:rsidRDefault="0097540C">
    <w:r>
      <w:cr/>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A3E5" w14:textId="77777777" w:rsidR="002704F8" w:rsidRDefault="0097540C">
    <w:r>
      <w:cr/>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AD798" w14:textId="77777777" w:rsidR="002704F8" w:rsidRDefault="0097540C">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405FF" w14:textId="77777777" w:rsidR="0097540C" w:rsidRDefault="0097540C">
      <w:r>
        <w:separator/>
      </w:r>
    </w:p>
  </w:footnote>
  <w:footnote w:type="continuationSeparator" w:id="0">
    <w:p w14:paraId="2B2CFA3A" w14:textId="77777777" w:rsidR="0097540C" w:rsidRDefault="009754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9BF8A" w14:textId="77777777" w:rsidR="002704F8" w:rsidRDefault="0097540C">
    <w:r>
      <w:cr/>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850C8" w14:textId="77777777" w:rsidR="002704F8" w:rsidRDefault="0097540C">
    <w:r>
      <w:cr/>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F1D40" w14:textId="77777777" w:rsidR="002704F8" w:rsidRDefault="0097540C">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82844" w14:textId="77777777" w:rsidR="002704F8" w:rsidRDefault="0097540C">
    <w:r>
      <w:cr/>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0172E" w14:textId="77777777" w:rsidR="007F78D5" w:rsidRDefault="0097540C">
    <w:pPr>
      <w:spacing w:line="288" w:lineRule="auto"/>
      <w:jc w:val="center"/>
    </w:pPr>
    <w:r>
      <w:rPr>
        <w:noProof/>
      </w:rPr>
      <w:drawing>
        <wp:inline distT="0" distB="0" distL="0" distR="0" wp14:anchorId="6B1CD70D" wp14:editId="4C7305FB">
          <wp:extent cx="2133600" cy="495300"/>
          <wp:effectExtent l="0" t="0" r="0" b="0"/>
          <wp:docPr id="1" name="Image - Image1.gif"/>
          <wp:cNvGraphicFramePr/>
          <a:graphic xmlns:a="http://schemas.openxmlformats.org/drawingml/2006/main">
            <a:graphicData uri="http://schemas.openxmlformats.org/drawingml/2006/picture">
              <pic:pic xmlns:pic="http://schemas.openxmlformats.org/drawingml/2006/picture">
                <pic:nvPicPr>
                  <pic:cNvPr id="2" name="Image1.gif"/>
                  <pic:cNvPicPr>
                    <a:picLocks noChangeAspect="1"/>
                  </pic:cNvPicPr>
                </pic:nvPicPr>
                <pic:blipFill>
                  <a:blip r:embed="rId1"/>
                  <a:stretch>
                    <a:fillRect/>
                  </a:stretch>
                </pic:blipFill>
                <pic:spPr>
                  <a:xfrm>
                    <a:off x="0" y="0"/>
                    <a:ext cx="2133600" cy="495300"/>
                  </a:xfrm>
                  <a:prstGeom prst="rect">
                    <a:avLst/>
                  </a:prstGeom>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E046F" w14:textId="77777777" w:rsidR="007F78D5" w:rsidRDefault="007F78D5">
    <w:pPr>
      <w:spacing w:line="346" w:lineRule="auto"/>
      <w:jc w:val="right"/>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061AE" w14:textId="77777777" w:rsidR="007F78D5" w:rsidRDefault="007F78D5">
    <w:pPr>
      <w:spacing w:line="346" w:lineRule="auto"/>
      <w:jc w:val="right"/>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DE12" w14:textId="77777777" w:rsidR="002704F8" w:rsidRDefault="0097540C">
    <w:r>
      <w:cr/>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8B377" w14:textId="77777777" w:rsidR="002704F8" w:rsidRDefault="0097540C">
    <w:r>
      <w:cr/>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F120B" w14:textId="77777777" w:rsidR="007F78D5" w:rsidRDefault="007F78D5">
    <w:pPr>
      <w:spacing w:line="346" w:lineRule="auto"/>
      <w:jc w:val="right"/>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FAE4" w14:textId="77777777" w:rsidR="007F78D5" w:rsidRDefault="007F78D5">
    <w:pPr>
      <w:spacing w:line="346" w:lineRule="aut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E55B4"/>
    <w:multiLevelType w:val="hybridMultilevel"/>
    <w:tmpl w:val="23803F9E"/>
    <w:lvl w:ilvl="0" w:tplc="EDF8ED26">
      <w:start w:val="1"/>
      <w:numFmt w:val="bullet"/>
      <w:lvlText w:val="• "/>
      <w:lvlJc w:val="left"/>
      <w:pPr>
        <w:ind w:hanging="360"/>
      </w:pPr>
    </w:lvl>
    <w:lvl w:ilvl="1" w:tplc="4F9EE2CE">
      <w:numFmt w:val="decimal"/>
      <w:lvlText w:val=""/>
      <w:lvlJc w:val="left"/>
    </w:lvl>
    <w:lvl w:ilvl="2" w:tplc="7B2CD198">
      <w:numFmt w:val="decimal"/>
      <w:lvlText w:val=""/>
      <w:lvlJc w:val="left"/>
    </w:lvl>
    <w:lvl w:ilvl="3" w:tplc="3CCAA0F4">
      <w:numFmt w:val="decimal"/>
      <w:lvlText w:val=""/>
      <w:lvlJc w:val="left"/>
    </w:lvl>
    <w:lvl w:ilvl="4" w:tplc="3C8E89AC">
      <w:numFmt w:val="decimal"/>
      <w:lvlText w:val=""/>
      <w:lvlJc w:val="left"/>
    </w:lvl>
    <w:lvl w:ilvl="5" w:tplc="F880EDD0">
      <w:numFmt w:val="decimal"/>
      <w:lvlText w:val=""/>
      <w:lvlJc w:val="left"/>
    </w:lvl>
    <w:lvl w:ilvl="6" w:tplc="FAC60720">
      <w:numFmt w:val="decimal"/>
      <w:lvlText w:val=""/>
      <w:lvlJc w:val="left"/>
    </w:lvl>
    <w:lvl w:ilvl="7" w:tplc="96223CDC">
      <w:numFmt w:val="decimal"/>
      <w:lvlText w:val=""/>
      <w:lvlJc w:val="left"/>
    </w:lvl>
    <w:lvl w:ilvl="8" w:tplc="58D42B78">
      <w:numFmt w:val="decimal"/>
      <w:lvlText w:val=""/>
      <w:lvlJc w:val="left"/>
    </w:lvl>
  </w:abstractNum>
  <w:abstractNum w:abstractNumId="1">
    <w:nsid w:val="146E04E9"/>
    <w:multiLevelType w:val="hybridMultilevel"/>
    <w:tmpl w:val="2CBA3BA8"/>
    <w:lvl w:ilvl="0" w:tplc="F5B49546">
      <w:numFmt w:val="decimal"/>
      <w:lvlText w:val=""/>
      <w:lvlJc w:val="left"/>
    </w:lvl>
    <w:lvl w:ilvl="1" w:tplc="48AE90D2">
      <w:start w:val="1"/>
      <w:numFmt w:val="decimalEnclosedCircle"/>
      <w:lvlText w:val="◦ "/>
      <w:lvlJc w:val="left"/>
      <w:pPr>
        <w:ind w:hanging="360"/>
      </w:pPr>
    </w:lvl>
    <w:lvl w:ilvl="2" w:tplc="3A5A20D8">
      <w:numFmt w:val="decimal"/>
      <w:lvlText w:val=""/>
      <w:lvlJc w:val="left"/>
    </w:lvl>
    <w:lvl w:ilvl="3" w:tplc="5D167CEC">
      <w:numFmt w:val="decimal"/>
      <w:lvlText w:val=""/>
      <w:lvlJc w:val="left"/>
    </w:lvl>
    <w:lvl w:ilvl="4" w:tplc="FE34B784">
      <w:numFmt w:val="decimal"/>
      <w:lvlText w:val=""/>
      <w:lvlJc w:val="left"/>
    </w:lvl>
    <w:lvl w:ilvl="5" w:tplc="DB90A70A">
      <w:numFmt w:val="decimal"/>
      <w:lvlText w:val=""/>
      <w:lvlJc w:val="left"/>
    </w:lvl>
    <w:lvl w:ilvl="6" w:tplc="9D76580E">
      <w:numFmt w:val="decimal"/>
      <w:lvlText w:val=""/>
      <w:lvlJc w:val="left"/>
    </w:lvl>
    <w:lvl w:ilvl="7" w:tplc="72848C52">
      <w:numFmt w:val="decimal"/>
      <w:lvlText w:val=""/>
      <w:lvlJc w:val="left"/>
    </w:lvl>
    <w:lvl w:ilvl="8" w:tplc="8FD2013C">
      <w:numFmt w:val="decimal"/>
      <w:lvlText w:val=""/>
      <w:lvlJc w:val="left"/>
    </w:lvl>
  </w:abstractNum>
  <w:abstractNum w:abstractNumId="2">
    <w:nsid w:val="24A9231F"/>
    <w:multiLevelType w:val="hybridMultilevel"/>
    <w:tmpl w:val="4CE8F96C"/>
    <w:lvl w:ilvl="0" w:tplc="49722A54">
      <w:start w:val="1"/>
      <w:numFmt w:val="bullet"/>
      <w:lvlText w:val="• "/>
      <w:lvlJc w:val="left"/>
      <w:pPr>
        <w:ind w:hanging="360"/>
      </w:pPr>
    </w:lvl>
    <w:lvl w:ilvl="1" w:tplc="3D9E33E2">
      <w:numFmt w:val="decimal"/>
      <w:lvlText w:val=""/>
      <w:lvlJc w:val="left"/>
    </w:lvl>
    <w:lvl w:ilvl="2" w:tplc="D5D0268C">
      <w:numFmt w:val="decimal"/>
      <w:lvlText w:val=""/>
      <w:lvlJc w:val="left"/>
    </w:lvl>
    <w:lvl w:ilvl="3" w:tplc="17D23F62">
      <w:numFmt w:val="decimal"/>
      <w:lvlText w:val=""/>
      <w:lvlJc w:val="left"/>
    </w:lvl>
    <w:lvl w:ilvl="4" w:tplc="DE447822">
      <w:numFmt w:val="decimal"/>
      <w:lvlText w:val=""/>
      <w:lvlJc w:val="left"/>
    </w:lvl>
    <w:lvl w:ilvl="5" w:tplc="429CEC24">
      <w:numFmt w:val="decimal"/>
      <w:lvlText w:val=""/>
      <w:lvlJc w:val="left"/>
    </w:lvl>
    <w:lvl w:ilvl="6" w:tplc="B484B832">
      <w:numFmt w:val="decimal"/>
      <w:lvlText w:val=""/>
      <w:lvlJc w:val="left"/>
    </w:lvl>
    <w:lvl w:ilvl="7" w:tplc="FC3627FC">
      <w:numFmt w:val="decimal"/>
      <w:lvlText w:val=""/>
      <w:lvlJc w:val="left"/>
    </w:lvl>
    <w:lvl w:ilvl="8" w:tplc="466E398A">
      <w:numFmt w:val="decimal"/>
      <w:lvlText w:val=""/>
      <w:lvlJc w:val="left"/>
    </w:lvl>
  </w:abstractNum>
  <w:abstractNum w:abstractNumId="3">
    <w:nsid w:val="26540FE7"/>
    <w:multiLevelType w:val="hybridMultilevel"/>
    <w:tmpl w:val="753C1236"/>
    <w:lvl w:ilvl="0" w:tplc="007AA74C">
      <w:start w:val="1"/>
      <w:numFmt w:val="bullet"/>
      <w:lvlText w:val="• "/>
      <w:lvlJc w:val="left"/>
      <w:pPr>
        <w:ind w:hanging="360"/>
      </w:pPr>
    </w:lvl>
    <w:lvl w:ilvl="1" w:tplc="B2145BA6">
      <w:numFmt w:val="decimal"/>
      <w:lvlText w:val=""/>
      <w:lvlJc w:val="left"/>
    </w:lvl>
    <w:lvl w:ilvl="2" w:tplc="58680D4E">
      <w:numFmt w:val="decimal"/>
      <w:lvlText w:val=""/>
      <w:lvlJc w:val="left"/>
    </w:lvl>
    <w:lvl w:ilvl="3" w:tplc="BF2C9A2E">
      <w:numFmt w:val="decimal"/>
      <w:lvlText w:val=""/>
      <w:lvlJc w:val="left"/>
    </w:lvl>
    <w:lvl w:ilvl="4" w:tplc="46CA03EC">
      <w:numFmt w:val="decimal"/>
      <w:lvlText w:val=""/>
      <w:lvlJc w:val="left"/>
    </w:lvl>
    <w:lvl w:ilvl="5" w:tplc="DD385D22">
      <w:numFmt w:val="decimal"/>
      <w:lvlText w:val=""/>
      <w:lvlJc w:val="left"/>
    </w:lvl>
    <w:lvl w:ilvl="6" w:tplc="5EECE92E">
      <w:numFmt w:val="decimal"/>
      <w:lvlText w:val=""/>
      <w:lvlJc w:val="left"/>
    </w:lvl>
    <w:lvl w:ilvl="7" w:tplc="2AA682D2">
      <w:numFmt w:val="decimal"/>
      <w:lvlText w:val=""/>
      <w:lvlJc w:val="left"/>
    </w:lvl>
    <w:lvl w:ilvl="8" w:tplc="1C067062">
      <w:numFmt w:val="decimal"/>
      <w:lvlText w:val=""/>
      <w:lvlJc w:val="left"/>
    </w:lvl>
  </w:abstractNum>
  <w:abstractNum w:abstractNumId="4">
    <w:nsid w:val="2B4539C5"/>
    <w:multiLevelType w:val="hybridMultilevel"/>
    <w:tmpl w:val="DEDAD56A"/>
    <w:lvl w:ilvl="0" w:tplc="05F4E2D4">
      <w:start w:val="1"/>
      <w:numFmt w:val="bullet"/>
      <w:lvlText w:val="• "/>
      <w:lvlJc w:val="left"/>
      <w:pPr>
        <w:ind w:hanging="360"/>
      </w:pPr>
    </w:lvl>
    <w:lvl w:ilvl="1" w:tplc="800CABFE">
      <w:numFmt w:val="decimal"/>
      <w:lvlText w:val=""/>
      <w:lvlJc w:val="left"/>
    </w:lvl>
    <w:lvl w:ilvl="2" w:tplc="B77E0F7E">
      <w:numFmt w:val="decimal"/>
      <w:lvlText w:val=""/>
      <w:lvlJc w:val="left"/>
    </w:lvl>
    <w:lvl w:ilvl="3" w:tplc="C43CB266">
      <w:numFmt w:val="decimal"/>
      <w:lvlText w:val=""/>
      <w:lvlJc w:val="left"/>
    </w:lvl>
    <w:lvl w:ilvl="4" w:tplc="8D36D504">
      <w:numFmt w:val="decimal"/>
      <w:lvlText w:val=""/>
      <w:lvlJc w:val="left"/>
    </w:lvl>
    <w:lvl w:ilvl="5" w:tplc="9C4C8052">
      <w:numFmt w:val="decimal"/>
      <w:lvlText w:val=""/>
      <w:lvlJc w:val="left"/>
    </w:lvl>
    <w:lvl w:ilvl="6" w:tplc="5D52B002">
      <w:numFmt w:val="decimal"/>
      <w:lvlText w:val=""/>
      <w:lvlJc w:val="left"/>
    </w:lvl>
    <w:lvl w:ilvl="7" w:tplc="BEC8A736">
      <w:numFmt w:val="decimal"/>
      <w:lvlText w:val=""/>
      <w:lvlJc w:val="left"/>
    </w:lvl>
    <w:lvl w:ilvl="8" w:tplc="6E9A8386">
      <w:numFmt w:val="decimal"/>
      <w:lvlText w:val=""/>
      <w:lvlJc w:val="left"/>
    </w:lvl>
  </w:abstractNum>
  <w:abstractNum w:abstractNumId="5">
    <w:nsid w:val="397F7440"/>
    <w:multiLevelType w:val="hybridMultilevel"/>
    <w:tmpl w:val="2A2C3580"/>
    <w:lvl w:ilvl="0" w:tplc="DD18907C">
      <w:start w:val="1"/>
      <w:numFmt w:val="decimalEnclosedCircle"/>
      <w:lvlText w:val="◦ "/>
      <w:lvlJc w:val="left"/>
      <w:pPr>
        <w:ind w:hanging="360"/>
      </w:pPr>
    </w:lvl>
    <w:lvl w:ilvl="1" w:tplc="56E2A094">
      <w:numFmt w:val="decimal"/>
      <w:lvlText w:val=""/>
      <w:lvlJc w:val="left"/>
    </w:lvl>
    <w:lvl w:ilvl="2" w:tplc="DB48F5C6">
      <w:numFmt w:val="decimal"/>
      <w:lvlText w:val=""/>
      <w:lvlJc w:val="left"/>
    </w:lvl>
    <w:lvl w:ilvl="3" w:tplc="3AE01326">
      <w:numFmt w:val="decimal"/>
      <w:lvlText w:val=""/>
      <w:lvlJc w:val="left"/>
    </w:lvl>
    <w:lvl w:ilvl="4" w:tplc="067CFE24">
      <w:numFmt w:val="decimal"/>
      <w:lvlText w:val=""/>
      <w:lvlJc w:val="left"/>
    </w:lvl>
    <w:lvl w:ilvl="5" w:tplc="4C2E06F8">
      <w:numFmt w:val="decimal"/>
      <w:lvlText w:val=""/>
      <w:lvlJc w:val="left"/>
    </w:lvl>
    <w:lvl w:ilvl="6" w:tplc="917E044C">
      <w:numFmt w:val="decimal"/>
      <w:lvlText w:val=""/>
      <w:lvlJc w:val="left"/>
    </w:lvl>
    <w:lvl w:ilvl="7" w:tplc="2F8C8E80">
      <w:numFmt w:val="decimal"/>
      <w:lvlText w:val=""/>
      <w:lvlJc w:val="left"/>
    </w:lvl>
    <w:lvl w:ilvl="8" w:tplc="4942D5B0">
      <w:numFmt w:val="decimal"/>
      <w:lvlText w:val=""/>
      <w:lvlJc w:val="left"/>
    </w:lvl>
  </w:abstractNum>
  <w:abstractNum w:abstractNumId="6">
    <w:nsid w:val="41146377"/>
    <w:multiLevelType w:val="hybridMultilevel"/>
    <w:tmpl w:val="3474D24A"/>
    <w:lvl w:ilvl="0" w:tplc="D9D0BCB0">
      <w:start w:val="1"/>
      <w:numFmt w:val="decimal"/>
      <w:lvlText w:val="(%1)"/>
      <w:lvlJc w:val="left"/>
      <w:pPr>
        <w:ind w:hanging="360"/>
      </w:pPr>
    </w:lvl>
    <w:lvl w:ilvl="1" w:tplc="201AD00E">
      <w:numFmt w:val="decimal"/>
      <w:lvlText w:val=""/>
      <w:lvlJc w:val="left"/>
    </w:lvl>
    <w:lvl w:ilvl="2" w:tplc="1FFC8C9E">
      <w:numFmt w:val="decimal"/>
      <w:lvlText w:val=""/>
      <w:lvlJc w:val="left"/>
    </w:lvl>
    <w:lvl w:ilvl="3" w:tplc="18642024">
      <w:numFmt w:val="decimal"/>
      <w:lvlText w:val=""/>
      <w:lvlJc w:val="left"/>
    </w:lvl>
    <w:lvl w:ilvl="4" w:tplc="63D42094">
      <w:numFmt w:val="decimal"/>
      <w:lvlText w:val=""/>
      <w:lvlJc w:val="left"/>
    </w:lvl>
    <w:lvl w:ilvl="5" w:tplc="27786B7C">
      <w:numFmt w:val="decimal"/>
      <w:lvlText w:val=""/>
      <w:lvlJc w:val="left"/>
    </w:lvl>
    <w:lvl w:ilvl="6" w:tplc="F0AEE042">
      <w:numFmt w:val="decimal"/>
      <w:lvlText w:val=""/>
      <w:lvlJc w:val="left"/>
    </w:lvl>
    <w:lvl w:ilvl="7" w:tplc="0132383C">
      <w:numFmt w:val="decimal"/>
      <w:lvlText w:val=""/>
      <w:lvlJc w:val="left"/>
    </w:lvl>
    <w:lvl w:ilvl="8" w:tplc="E3EC73C8">
      <w:numFmt w:val="decimal"/>
      <w:lvlText w:val=""/>
      <w:lvlJc w:val="left"/>
    </w:lvl>
  </w:abstractNum>
  <w:abstractNum w:abstractNumId="7">
    <w:nsid w:val="64415CC2"/>
    <w:multiLevelType w:val="hybridMultilevel"/>
    <w:tmpl w:val="823CBE38"/>
    <w:lvl w:ilvl="0" w:tplc="11183EA2">
      <w:start w:val="1"/>
      <w:numFmt w:val="bullet"/>
      <w:lvlText w:val="• "/>
      <w:lvlJc w:val="left"/>
      <w:pPr>
        <w:ind w:hanging="360"/>
      </w:pPr>
    </w:lvl>
    <w:lvl w:ilvl="1" w:tplc="1E726D8A">
      <w:numFmt w:val="decimal"/>
      <w:lvlText w:val=""/>
      <w:lvlJc w:val="left"/>
    </w:lvl>
    <w:lvl w:ilvl="2" w:tplc="AC0830CE">
      <w:numFmt w:val="decimal"/>
      <w:lvlText w:val=""/>
      <w:lvlJc w:val="left"/>
    </w:lvl>
    <w:lvl w:ilvl="3" w:tplc="D714A93C">
      <w:numFmt w:val="decimal"/>
      <w:lvlText w:val=""/>
      <w:lvlJc w:val="left"/>
    </w:lvl>
    <w:lvl w:ilvl="4" w:tplc="EF1EE61C">
      <w:numFmt w:val="decimal"/>
      <w:lvlText w:val=""/>
      <w:lvlJc w:val="left"/>
    </w:lvl>
    <w:lvl w:ilvl="5" w:tplc="75BAF8F2">
      <w:numFmt w:val="decimal"/>
      <w:lvlText w:val=""/>
      <w:lvlJc w:val="left"/>
    </w:lvl>
    <w:lvl w:ilvl="6" w:tplc="063A24CA">
      <w:numFmt w:val="decimal"/>
      <w:lvlText w:val=""/>
      <w:lvlJc w:val="left"/>
    </w:lvl>
    <w:lvl w:ilvl="7" w:tplc="9F587520">
      <w:numFmt w:val="decimal"/>
      <w:lvlText w:val=""/>
      <w:lvlJc w:val="left"/>
    </w:lvl>
    <w:lvl w:ilvl="8" w:tplc="C3A63748">
      <w:numFmt w:val="decimal"/>
      <w:lvlText w:val=""/>
      <w:lvlJc w:val="left"/>
    </w:lvl>
  </w:abstractNum>
  <w:abstractNum w:abstractNumId="8">
    <w:nsid w:val="65D3209F"/>
    <w:multiLevelType w:val="hybridMultilevel"/>
    <w:tmpl w:val="4052D9E0"/>
    <w:lvl w:ilvl="0" w:tplc="FCFCE7F2">
      <w:start w:val="1"/>
      <w:numFmt w:val="bullet"/>
      <w:lvlText w:val="• "/>
      <w:lvlJc w:val="left"/>
      <w:pPr>
        <w:ind w:hanging="360"/>
      </w:pPr>
    </w:lvl>
    <w:lvl w:ilvl="1" w:tplc="C948491C">
      <w:numFmt w:val="decimal"/>
      <w:lvlText w:val=""/>
      <w:lvlJc w:val="left"/>
    </w:lvl>
    <w:lvl w:ilvl="2" w:tplc="467C52FA">
      <w:numFmt w:val="decimal"/>
      <w:lvlText w:val=""/>
      <w:lvlJc w:val="left"/>
    </w:lvl>
    <w:lvl w:ilvl="3" w:tplc="9E8616EC">
      <w:numFmt w:val="decimal"/>
      <w:lvlText w:val=""/>
      <w:lvlJc w:val="left"/>
    </w:lvl>
    <w:lvl w:ilvl="4" w:tplc="C1626C9A">
      <w:numFmt w:val="decimal"/>
      <w:lvlText w:val=""/>
      <w:lvlJc w:val="left"/>
    </w:lvl>
    <w:lvl w:ilvl="5" w:tplc="CEC62062">
      <w:numFmt w:val="decimal"/>
      <w:lvlText w:val=""/>
      <w:lvlJc w:val="left"/>
    </w:lvl>
    <w:lvl w:ilvl="6" w:tplc="C6E83724">
      <w:numFmt w:val="decimal"/>
      <w:lvlText w:val=""/>
      <w:lvlJc w:val="left"/>
    </w:lvl>
    <w:lvl w:ilvl="7" w:tplc="ADE6D8C6">
      <w:numFmt w:val="decimal"/>
      <w:lvlText w:val=""/>
      <w:lvlJc w:val="left"/>
    </w:lvl>
    <w:lvl w:ilvl="8" w:tplc="A82E8F98">
      <w:numFmt w:val="decimal"/>
      <w:lvlText w:val=""/>
      <w:lvlJc w:val="left"/>
    </w:lvl>
  </w:abstractNum>
  <w:abstractNum w:abstractNumId="9">
    <w:nsid w:val="66F46286"/>
    <w:multiLevelType w:val="hybridMultilevel"/>
    <w:tmpl w:val="D3EEEDDC"/>
    <w:lvl w:ilvl="0" w:tplc="95848B8E">
      <w:start w:val="1"/>
      <w:numFmt w:val="decimalEnclosedCircle"/>
      <w:lvlText w:val="◦ "/>
      <w:lvlJc w:val="left"/>
      <w:pPr>
        <w:ind w:hanging="360"/>
      </w:pPr>
    </w:lvl>
    <w:lvl w:ilvl="1" w:tplc="6D9EC556">
      <w:numFmt w:val="decimal"/>
      <w:lvlText w:val=""/>
      <w:lvlJc w:val="left"/>
    </w:lvl>
    <w:lvl w:ilvl="2" w:tplc="EA8EC9A4">
      <w:numFmt w:val="decimal"/>
      <w:lvlText w:val=""/>
      <w:lvlJc w:val="left"/>
    </w:lvl>
    <w:lvl w:ilvl="3" w:tplc="1152ED80">
      <w:numFmt w:val="decimal"/>
      <w:lvlText w:val=""/>
      <w:lvlJc w:val="left"/>
    </w:lvl>
    <w:lvl w:ilvl="4" w:tplc="10D886A6">
      <w:numFmt w:val="decimal"/>
      <w:lvlText w:val=""/>
      <w:lvlJc w:val="left"/>
    </w:lvl>
    <w:lvl w:ilvl="5" w:tplc="25488F54">
      <w:numFmt w:val="decimal"/>
      <w:lvlText w:val=""/>
      <w:lvlJc w:val="left"/>
    </w:lvl>
    <w:lvl w:ilvl="6" w:tplc="09FE91CC">
      <w:numFmt w:val="decimal"/>
      <w:lvlText w:val=""/>
      <w:lvlJc w:val="left"/>
    </w:lvl>
    <w:lvl w:ilvl="7" w:tplc="CAF81B9C">
      <w:numFmt w:val="decimal"/>
      <w:lvlText w:val=""/>
      <w:lvlJc w:val="left"/>
    </w:lvl>
    <w:lvl w:ilvl="8" w:tplc="77186666">
      <w:numFmt w:val="decimal"/>
      <w:lvlText w:val=""/>
      <w:lvlJc w:val="left"/>
    </w:lvl>
  </w:abstractNum>
  <w:abstractNum w:abstractNumId="10">
    <w:nsid w:val="6B445257"/>
    <w:multiLevelType w:val="hybridMultilevel"/>
    <w:tmpl w:val="1B9E00C2"/>
    <w:lvl w:ilvl="0" w:tplc="5ECE7014">
      <w:start w:val="1"/>
      <w:numFmt w:val="decimalEnclosedCircle"/>
      <w:lvlText w:val="◦ "/>
      <w:lvlJc w:val="left"/>
      <w:pPr>
        <w:ind w:hanging="360"/>
      </w:pPr>
    </w:lvl>
    <w:lvl w:ilvl="1" w:tplc="2F121B8C">
      <w:numFmt w:val="decimal"/>
      <w:lvlText w:val=""/>
      <w:lvlJc w:val="left"/>
    </w:lvl>
    <w:lvl w:ilvl="2" w:tplc="2E64337E">
      <w:numFmt w:val="decimal"/>
      <w:lvlText w:val=""/>
      <w:lvlJc w:val="left"/>
    </w:lvl>
    <w:lvl w:ilvl="3" w:tplc="DEDC1BCA">
      <w:numFmt w:val="decimal"/>
      <w:lvlText w:val=""/>
      <w:lvlJc w:val="left"/>
    </w:lvl>
    <w:lvl w:ilvl="4" w:tplc="651677DC">
      <w:numFmt w:val="decimal"/>
      <w:lvlText w:val=""/>
      <w:lvlJc w:val="left"/>
    </w:lvl>
    <w:lvl w:ilvl="5" w:tplc="B9B60E32">
      <w:numFmt w:val="decimal"/>
      <w:lvlText w:val=""/>
      <w:lvlJc w:val="left"/>
    </w:lvl>
    <w:lvl w:ilvl="6" w:tplc="D8F60536">
      <w:numFmt w:val="decimal"/>
      <w:lvlText w:val=""/>
      <w:lvlJc w:val="left"/>
    </w:lvl>
    <w:lvl w:ilvl="7" w:tplc="5A528EEA">
      <w:numFmt w:val="decimal"/>
      <w:lvlText w:val=""/>
      <w:lvlJc w:val="left"/>
    </w:lvl>
    <w:lvl w:ilvl="8" w:tplc="224E5AE4">
      <w:numFmt w:val="decimal"/>
      <w:lvlText w:val=""/>
      <w:lvlJc w:val="left"/>
    </w:lvl>
  </w:abstractNum>
  <w:abstractNum w:abstractNumId="11">
    <w:nsid w:val="6CAE1D11"/>
    <w:multiLevelType w:val="hybridMultilevel"/>
    <w:tmpl w:val="B56A1590"/>
    <w:lvl w:ilvl="0" w:tplc="96C237B6">
      <w:start w:val="1"/>
      <w:numFmt w:val="bullet"/>
      <w:lvlText w:val="• "/>
      <w:lvlJc w:val="left"/>
      <w:pPr>
        <w:ind w:hanging="360"/>
      </w:pPr>
    </w:lvl>
    <w:lvl w:ilvl="1" w:tplc="9D4048F8">
      <w:numFmt w:val="decimal"/>
      <w:lvlText w:val=""/>
      <w:lvlJc w:val="left"/>
    </w:lvl>
    <w:lvl w:ilvl="2" w:tplc="CC6864A0">
      <w:numFmt w:val="decimal"/>
      <w:lvlText w:val=""/>
      <w:lvlJc w:val="left"/>
    </w:lvl>
    <w:lvl w:ilvl="3" w:tplc="C89EFD32">
      <w:numFmt w:val="decimal"/>
      <w:lvlText w:val=""/>
      <w:lvlJc w:val="left"/>
    </w:lvl>
    <w:lvl w:ilvl="4" w:tplc="F8B8426C">
      <w:numFmt w:val="decimal"/>
      <w:lvlText w:val=""/>
      <w:lvlJc w:val="left"/>
    </w:lvl>
    <w:lvl w:ilvl="5" w:tplc="B906A5D0">
      <w:numFmt w:val="decimal"/>
      <w:lvlText w:val=""/>
      <w:lvlJc w:val="left"/>
    </w:lvl>
    <w:lvl w:ilvl="6" w:tplc="C86A3906">
      <w:numFmt w:val="decimal"/>
      <w:lvlText w:val=""/>
      <w:lvlJc w:val="left"/>
    </w:lvl>
    <w:lvl w:ilvl="7" w:tplc="07300670">
      <w:numFmt w:val="decimal"/>
      <w:lvlText w:val=""/>
      <w:lvlJc w:val="left"/>
    </w:lvl>
    <w:lvl w:ilvl="8" w:tplc="56CA010E">
      <w:numFmt w:val="decimal"/>
      <w:lvlText w:val=""/>
      <w:lvlJc w:val="left"/>
    </w:lvl>
  </w:abstractNum>
  <w:abstractNum w:abstractNumId="12">
    <w:nsid w:val="77622A5E"/>
    <w:multiLevelType w:val="hybridMultilevel"/>
    <w:tmpl w:val="01A2131E"/>
    <w:lvl w:ilvl="0" w:tplc="E942503A">
      <w:start w:val="1"/>
      <w:numFmt w:val="bullet"/>
      <w:lvlText w:val="• "/>
      <w:lvlJc w:val="left"/>
      <w:pPr>
        <w:ind w:hanging="360"/>
      </w:pPr>
    </w:lvl>
    <w:lvl w:ilvl="1" w:tplc="58F8BE7E">
      <w:numFmt w:val="decimal"/>
      <w:lvlText w:val=""/>
      <w:lvlJc w:val="left"/>
    </w:lvl>
    <w:lvl w:ilvl="2" w:tplc="5B6A816C">
      <w:numFmt w:val="decimal"/>
      <w:lvlText w:val=""/>
      <w:lvlJc w:val="left"/>
    </w:lvl>
    <w:lvl w:ilvl="3" w:tplc="9CA62EE2">
      <w:numFmt w:val="decimal"/>
      <w:lvlText w:val=""/>
      <w:lvlJc w:val="left"/>
    </w:lvl>
    <w:lvl w:ilvl="4" w:tplc="FD58CD10">
      <w:numFmt w:val="decimal"/>
      <w:lvlText w:val=""/>
      <w:lvlJc w:val="left"/>
    </w:lvl>
    <w:lvl w:ilvl="5" w:tplc="6E261F6C">
      <w:numFmt w:val="decimal"/>
      <w:lvlText w:val=""/>
      <w:lvlJc w:val="left"/>
    </w:lvl>
    <w:lvl w:ilvl="6" w:tplc="C0EC9FA0">
      <w:numFmt w:val="decimal"/>
      <w:lvlText w:val=""/>
      <w:lvlJc w:val="left"/>
    </w:lvl>
    <w:lvl w:ilvl="7" w:tplc="6282A004">
      <w:numFmt w:val="decimal"/>
      <w:lvlText w:val=""/>
      <w:lvlJc w:val="left"/>
    </w:lvl>
    <w:lvl w:ilvl="8" w:tplc="1FECF27E">
      <w:numFmt w:val="decimal"/>
      <w:lvlText w:val=""/>
      <w:lvlJc w:val="left"/>
    </w:lvl>
  </w:abstractNum>
  <w:num w:numId="1">
    <w:abstractNumId w:val="7"/>
  </w:num>
  <w:num w:numId="2">
    <w:abstractNumId w:val="0"/>
  </w:num>
  <w:num w:numId="3">
    <w:abstractNumId w:val="12"/>
  </w:num>
  <w:num w:numId="4">
    <w:abstractNumId w:val="4"/>
  </w:num>
  <w:num w:numId="5">
    <w:abstractNumId w:val="1"/>
  </w:num>
  <w:num w:numId="6">
    <w:abstractNumId w:val="8"/>
  </w:num>
  <w:num w:numId="7">
    <w:abstractNumId w:val="2"/>
  </w:num>
  <w:num w:numId="8">
    <w:abstractNumId w:val="11"/>
  </w:num>
  <w:num w:numId="9">
    <w:abstractNumId w:val="10"/>
  </w:num>
  <w:num w:numId="10">
    <w:abstractNumId w:val="5"/>
  </w:num>
  <w:num w:numId="11">
    <w:abstractNumId w:val="6"/>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D5"/>
    <w:rsid w:val="001E0957"/>
    <w:rsid w:val="002704F8"/>
    <w:rsid w:val="007611FC"/>
    <w:rsid w:val="007F78D5"/>
    <w:rsid w:val="008A213B"/>
    <w:rsid w:val="0097540C"/>
    <w:rsid w:val="00F25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20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1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1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1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7.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header" Target="header9.xml"/><Relationship Id="rId25" Type="http://schemas.openxmlformats.org/officeDocument/2006/relationships/footer" Target="footer8.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header" Target="header11.xml"/><Relationship Id="rId29" Type="http://schemas.openxmlformats.org/officeDocument/2006/relationships/footer" Target="footer10.xml"/><Relationship Id="rId30" Type="http://schemas.openxmlformats.org/officeDocument/2006/relationships/footer" Target="footer1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tt.ec/5bZa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2226</Words>
  <Characters>12694</Characters>
  <Application>Microsoft Macintosh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14891</CharactersWithSpaces>
  <SharedDoc>false</SharedDoc>
  <HyperlinksChanged>false</HyperlinksChanged>
  <AppVersion>14.0000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workiva.com</dc:creator>
  <cp:keywords/>
  <dc:description/>
  <cp:lastModifiedBy>Mary Burke</cp:lastModifiedBy>
  <cp:revision>2</cp:revision>
  <dcterms:created xsi:type="dcterms:W3CDTF">2015-08-05T11:04:00Z</dcterms:created>
  <dcterms:modified xsi:type="dcterms:W3CDTF">2015-08-05T11:04:00Z</dcterms:modified>
</cp:coreProperties>
</file>